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  <w:bookmarkStart w:id="0" w:name="_GoBack"/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山东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eastAsia="zh-CN"/>
        </w:rPr>
        <w:t>岱岳制盐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有限公司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eastAsiaTheme="minorEastAsia"/>
          <w:b/>
          <w:i w:val="0"/>
          <w:caps w:val="0"/>
          <w:spacing w:val="0"/>
          <w:w w:val="100"/>
          <w:sz w:val="36"/>
          <w:szCs w:val="36"/>
          <w:lang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供热中心2#机DEH调节阀维修项目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br w:type="textWrapping"/>
      </w: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询比价文件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供热中心2#机DEH调节阀维修项目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进行询比价招标，欢迎有生产规模、维修能力以及维修经验的单位参与投标。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供热中心2#机DEH调节阀维修项目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供热中心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项目维修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内容：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供热中心2#及DEH调节阀维修，具体维修内容见项目清单，为交钥匙工程；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bCs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 供热中心2#机DEH调节阀维修项目清单：</w:t>
      </w:r>
    </w:p>
    <w:tbl>
      <w:tblPr>
        <w:tblStyle w:val="7"/>
        <w:tblW w:w="9942" w:type="dxa"/>
        <w:tblInd w:w="-33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323"/>
        <w:gridCol w:w="958"/>
        <w:gridCol w:w="946"/>
        <w:gridCol w:w="39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项目名称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3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3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处理油动机漏油</w:t>
            </w:r>
          </w:p>
        </w:tc>
        <w:tc>
          <w:tcPr>
            <w:tcW w:w="9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台套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处理主汽门操纵座漏油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台套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解决机械超速不动作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台套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ind w:firstLine="480" w:firstLineChars="200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33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检查DEH油泵不起压</w:t>
            </w:r>
          </w:p>
        </w:tc>
        <w:tc>
          <w:tcPr>
            <w:tcW w:w="9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台套</w:t>
            </w: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3.4 维修所需的所有材料均由投标方负责；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4、费用包含维修所需的所有材料、运输、装卸、吊车、专用工具、设备拆装、维修、人工、保养、保险、税费、验收等一切费用；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无预付款,维修完成经验收合格并出具第三方审计报告后，付至合同金额的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90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%,同时开具全额增值税专用发票。余款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%作为质保金,质保期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年，期满后无质量问题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个工作日内一次无息付清；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</w:t>
      </w:r>
      <w:r>
        <w:rPr>
          <w:rFonts w:hint="eastAsia" w:ascii="仿宋_GB2312" w:eastAsia="仿宋_GB2312"/>
          <w:b/>
          <w:bCs/>
          <w:i w:val="0"/>
          <w:caps w:val="0"/>
          <w:spacing w:val="0"/>
          <w:w w:val="100"/>
          <w:sz w:val="30"/>
          <w:szCs w:val="30"/>
          <w:lang w:val="en-US" w:eastAsia="zh-CN"/>
        </w:rPr>
        <w:t>维修技术要求：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1、建议投标方提前踏勘现场后再进行报价；</w:t>
      </w:r>
    </w:p>
    <w:p>
      <w:pPr>
        <w:pStyle w:val="2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2、维修过程中，满足甲方现场提出的质量要求；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、具有国内法人资格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有相关维修经验；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 w:eastAsia="zh-CN"/>
        </w:rPr>
        <w:t>具备有效的营业执照。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需要提供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报价单、公司营业执照复印件，以上文件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,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加盖公章。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五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截止至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2023年8月15日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上午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8:00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1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eastAsia="zh-CN"/>
        </w:rPr>
        <w:t>线下，报专用邮箱：dyzy009@163.com或递送投标文件，截止时间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2023年8月15日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上午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8:00，投标文件接收部门：生产管理部，接收人：张经理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有意投标的单位可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本公司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维修工期：接招标方通知后有且仅有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1日历天；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郑国丰      安凯征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张毅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移动电话：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13127274866 13583857706 13705382602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单位地址：泰安市大汶口石膏工业园区</w:t>
      </w: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13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br w:type="textWrapping"/>
      </w:r>
    </w:p>
    <w:p>
      <w:pPr>
        <w:pStyle w:val="2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2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  <w:t>附表：报价单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1289"/>
        <w:gridCol w:w="1999"/>
        <w:gridCol w:w="1165"/>
        <w:gridCol w:w="1223"/>
        <w:gridCol w:w="1196"/>
        <w:gridCol w:w="1196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供热中心2#机DEH调节阀维修项目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en-US"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供热中心2#机DEH调节阀维修项目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维修内容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数量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both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（单位）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单价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元</w:t>
            </w: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合计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br w:type="textWrapping"/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（元）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处理油动机漏油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1台套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处理主汽门操纵座漏油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台套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解决机械超速不动作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台套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检查DEH油泵不起压</w:t>
            </w: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台套</w:t>
            </w: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zh-CN" w:eastAsia="zh-CN" w:bidi="ar-S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2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32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left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16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22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napToGrid/>
              <w:spacing w:before="0" w:beforeAutospacing="0" w:after="0" w:afterAutospacing="0" w:line="360" w:lineRule="auto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kern w:val="2"/>
                <w:sz w:val="21"/>
                <w:szCs w:val="21"/>
                <w:lang w:val="zh-CN" w:eastAsia="zh-CN" w:bidi="ar-SA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zh-CN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1"/>
                <w:szCs w:val="21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费用总计：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维修单位（盖章）：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2023年   月   日</w:t>
      </w:r>
    </w:p>
    <w:bookmarkEnd w:id="0"/>
    <w:sectPr>
      <w:footerReference r:id="rId3" w:type="default"/>
      <w:pgSz w:w="11906" w:h="16838"/>
      <w:pgMar w:top="1440" w:right="1644" w:bottom="1440" w:left="1644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2306DD7"/>
    <w:rsid w:val="03B91101"/>
    <w:rsid w:val="04A179E0"/>
    <w:rsid w:val="05634469"/>
    <w:rsid w:val="05EE2A45"/>
    <w:rsid w:val="07D71CEE"/>
    <w:rsid w:val="08070D6B"/>
    <w:rsid w:val="08445E66"/>
    <w:rsid w:val="09C25E67"/>
    <w:rsid w:val="09DA5520"/>
    <w:rsid w:val="0D814D03"/>
    <w:rsid w:val="0EC030DD"/>
    <w:rsid w:val="0ED54A92"/>
    <w:rsid w:val="0F091391"/>
    <w:rsid w:val="100A0345"/>
    <w:rsid w:val="13BB58AD"/>
    <w:rsid w:val="153C425C"/>
    <w:rsid w:val="176D2836"/>
    <w:rsid w:val="1BA17A2A"/>
    <w:rsid w:val="1D7747FF"/>
    <w:rsid w:val="228B098C"/>
    <w:rsid w:val="24180157"/>
    <w:rsid w:val="2B7318F8"/>
    <w:rsid w:val="2BA0116E"/>
    <w:rsid w:val="2C813014"/>
    <w:rsid w:val="2EF00CBC"/>
    <w:rsid w:val="318F22B0"/>
    <w:rsid w:val="34862330"/>
    <w:rsid w:val="34A36F35"/>
    <w:rsid w:val="36D55FE6"/>
    <w:rsid w:val="36F81E25"/>
    <w:rsid w:val="37584AFD"/>
    <w:rsid w:val="37E72A62"/>
    <w:rsid w:val="390D2141"/>
    <w:rsid w:val="39793197"/>
    <w:rsid w:val="39F53665"/>
    <w:rsid w:val="3D222B40"/>
    <w:rsid w:val="3D7A0E63"/>
    <w:rsid w:val="42961129"/>
    <w:rsid w:val="445B7D72"/>
    <w:rsid w:val="45C10B5F"/>
    <w:rsid w:val="494729C5"/>
    <w:rsid w:val="4995105C"/>
    <w:rsid w:val="4E1D6A42"/>
    <w:rsid w:val="4EBD15FA"/>
    <w:rsid w:val="4EEF2101"/>
    <w:rsid w:val="50067498"/>
    <w:rsid w:val="51B701A5"/>
    <w:rsid w:val="55EE615F"/>
    <w:rsid w:val="56020701"/>
    <w:rsid w:val="592212CC"/>
    <w:rsid w:val="5B266605"/>
    <w:rsid w:val="5DBB7DAF"/>
    <w:rsid w:val="619D030E"/>
    <w:rsid w:val="625051A3"/>
    <w:rsid w:val="64C9520C"/>
    <w:rsid w:val="676E33F4"/>
    <w:rsid w:val="6B106DB8"/>
    <w:rsid w:val="6BD60081"/>
    <w:rsid w:val="6C0552A5"/>
    <w:rsid w:val="6C4E6000"/>
    <w:rsid w:val="6CAA326F"/>
    <w:rsid w:val="6F8C790A"/>
    <w:rsid w:val="71870DF3"/>
    <w:rsid w:val="76332B34"/>
    <w:rsid w:val="789138CE"/>
    <w:rsid w:val="796E31BA"/>
    <w:rsid w:val="7D7B523B"/>
    <w:rsid w:val="7DC91981"/>
    <w:rsid w:val="7E3D6026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autoRedefine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autoRedefine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autoRedefine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1246</Words>
  <Characters>1358</Characters>
  <Lines>0</Lines>
  <Paragraphs>0</Paragraphs>
  <TotalTime>12</TotalTime>
  <ScaleCrop>false</ScaleCrop>
  <LinksUpToDate>false</LinksUpToDate>
  <CharactersWithSpaces>1516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风雨踏梦行</cp:lastModifiedBy>
  <cp:lastPrinted>2024-03-27T11:40:00Z</cp:lastPrinted>
  <dcterms:modified xsi:type="dcterms:W3CDTF">2024-05-26T10:15:31Z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3986025D1BCA4631BA232676E1151A60_13</vt:lpwstr>
  </property>
</Properties>
</file>