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制盐车间板式换热器维修项目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询比价文件</w:t>
      </w:r>
    </w:p>
    <w:p>
      <w:pPr>
        <w:pStyle w:val="1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3051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both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bookmarkStart w:id="0" w:name="_GoBack"/>
      <w:bookmarkEnd w:id="0"/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10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19日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根据生产工艺需要，现就山东岱岳制盐有限公司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制盐车间板式换热器维修项目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制盐车间板式换热器维修项目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制盐车间板式换热器拆除、维修并复装到位，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制盐车间原板式换热器为钛2材质，进出口口径为DN250mm，尺寸为2433*1005*2472mm；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制盐车间零米板式换热器维修，包含但不限于胶条、垫片的更换，换热板的拆除、清洗及复装，直至设备恢复应具备的正常使用功能；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4、工程承包范围：费用包含维修所需的所有材料、设备拆装、转运、清洗、运输、人工、机械、调试、安全施工、保养、保险、税费、验收、检测等一切费用，费用一次性包死；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本工程无预付款，安装完成并经验收合格后，付至合同金额的90%，同时开具全额增值税专用发票。余款10%作为质保金，期满后无质量问题30个工作日内一次无息付清，付款方式为现汇或电子承兑支付；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维修过程中，要服从甲方管理，按甲方现场提出的质量要求进行整改；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维修前需与我方安全环保部对接并签订施工安全协议，并提供相关安全手续资料。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6.4 质保期：自验收合格之日起1年。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12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12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pStyle w:val="12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3、施工措施必须符合安全、环保要求。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3、具有良好的商业信誉，投标方未被列入“信用中国”网站（www.creditchina.gov.cn)“失信被执行人”记录名单。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4、2个以上最近2年与本项目相关的业绩合同；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1、投标时间：截止至2023年10月22日上午10:00。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2、开标时间：2023年10月22日上午10:00。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scb</w:t>
      </w:r>
      <w:r>
        <w:rPr>
          <w:rFonts w:hint="eastAsia" w:ascii="仿宋_GB2312" w:eastAsia="仿宋_GB2312"/>
          <w:sz w:val="30"/>
          <w:szCs w:val="30"/>
          <w:lang w:eastAsia="zh-CN"/>
        </w:rPr>
        <w:t>@163.com或现场递送纸质版投标文件（密封并盖章），截止时间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2023年10月22日上午10:00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部取得进一步技术交流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3日历天内维修完毕；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张经理      </w:t>
      </w:r>
    </w:p>
    <w:p>
      <w:pPr>
        <w:snapToGrid/>
        <w:spacing w:before="0" w:beforeAutospacing="0" w:after="0" w:afterAutospacing="0" w:line="360" w:lineRule="auto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13127274866  13705382602</w:t>
      </w:r>
    </w:p>
    <w:p>
      <w:pPr>
        <w:widowControl/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83"/>
        <w:gridCol w:w="626"/>
        <w:gridCol w:w="2169"/>
        <w:gridCol w:w="1542"/>
        <w:gridCol w:w="1177"/>
        <w:gridCol w:w="12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制盐车间板式换热器维修项目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制盐车间板式换热器维修项目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单位数量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板式换热器维修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1台套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p>
      <w:pPr>
        <w:rPr>
          <w:rFonts w:hint="eastAsia" w:ascii="仿宋_GB2312" w:eastAsia="仿宋_GB2312"/>
          <w:sz w:val="32"/>
          <w:szCs w:val="32"/>
          <w:lang w:val="zh-CN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</w:t>
      </w:r>
    </w:p>
    <w:p>
      <w:pPr>
        <w:pStyle w:val="2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制盐车间板式换热器维修项目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</w:t>
      </w:r>
      <w:r>
        <w:rPr>
          <w:rFonts w:hint="eastAsia" w:ascii="仿宋_GB2312" w:hAnsi="仿宋" w:eastAsia="仿宋_GB2312"/>
          <w:sz w:val="24"/>
          <w:lang w:val="zh-CN"/>
        </w:rPr>
        <w:t>投标方可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/>
          <w:sz w:val="24"/>
          <w:lang w:val="zh-CN"/>
        </w:rPr>
        <w:t>投标方</w:t>
      </w:r>
      <w:r>
        <w:rPr>
          <w:rFonts w:ascii="仿宋_GB2312" w:hAnsi="仿宋" w:eastAsia="仿宋_GB2312"/>
          <w:sz w:val="24"/>
          <w:lang w:val="zh-CN"/>
        </w:rPr>
        <w:t>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制盐车间板式换热器维修项目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</w:t>
      </w:r>
      <w:r>
        <w:rPr>
          <w:rFonts w:hint="eastAsia" w:ascii="仿宋_GB2312" w:hAnsi="仿宋" w:eastAsia="仿宋_GB2312"/>
          <w:sz w:val="24"/>
          <w:lang w:val="zh-CN"/>
        </w:rPr>
        <w:t>投标方可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/>
          <w:sz w:val="24"/>
          <w:lang w:val="zh-CN"/>
        </w:rPr>
        <w:t>投标方</w:t>
      </w:r>
      <w:r>
        <w:rPr>
          <w:rFonts w:ascii="仿宋_GB2312" w:hAnsi="仿宋" w:eastAsia="仿宋_GB2312"/>
          <w:sz w:val="24"/>
          <w:lang w:val="zh-CN"/>
        </w:rPr>
        <w:t>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hint="default"/>
          <w:lang w:val="en-US" w:eastAsia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jRkYWEwY2Q1OTA4ODA0OTEyMGVjZWRmODdlNjYifQ=="/>
  </w:docVars>
  <w:rsids>
    <w:rsidRoot w:val="45C10B5F"/>
    <w:rsid w:val="017F12D4"/>
    <w:rsid w:val="01E3241E"/>
    <w:rsid w:val="01E71019"/>
    <w:rsid w:val="022F74DC"/>
    <w:rsid w:val="02440FD9"/>
    <w:rsid w:val="03B91101"/>
    <w:rsid w:val="066D7D39"/>
    <w:rsid w:val="07D71CEE"/>
    <w:rsid w:val="08070D6B"/>
    <w:rsid w:val="08445E66"/>
    <w:rsid w:val="0900494A"/>
    <w:rsid w:val="09DA5520"/>
    <w:rsid w:val="0D1A2A65"/>
    <w:rsid w:val="0EC030DD"/>
    <w:rsid w:val="0F091391"/>
    <w:rsid w:val="0F1861D4"/>
    <w:rsid w:val="0FE563BF"/>
    <w:rsid w:val="100A0345"/>
    <w:rsid w:val="11E36638"/>
    <w:rsid w:val="13BB58AD"/>
    <w:rsid w:val="140D24DD"/>
    <w:rsid w:val="143332F5"/>
    <w:rsid w:val="16E23DFB"/>
    <w:rsid w:val="176D2836"/>
    <w:rsid w:val="19B82418"/>
    <w:rsid w:val="1BA17A2A"/>
    <w:rsid w:val="1C44381C"/>
    <w:rsid w:val="1E364ED1"/>
    <w:rsid w:val="21C6173C"/>
    <w:rsid w:val="228B098C"/>
    <w:rsid w:val="24180157"/>
    <w:rsid w:val="245C4546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657590"/>
    <w:rsid w:val="32991881"/>
    <w:rsid w:val="34862330"/>
    <w:rsid w:val="36D55FE6"/>
    <w:rsid w:val="36F81E25"/>
    <w:rsid w:val="37584AFD"/>
    <w:rsid w:val="375877D0"/>
    <w:rsid w:val="37E562C3"/>
    <w:rsid w:val="37E72A62"/>
    <w:rsid w:val="39793197"/>
    <w:rsid w:val="39F53665"/>
    <w:rsid w:val="3A077464"/>
    <w:rsid w:val="3BC245AF"/>
    <w:rsid w:val="3D222B40"/>
    <w:rsid w:val="40AE5174"/>
    <w:rsid w:val="42BB3724"/>
    <w:rsid w:val="431C6069"/>
    <w:rsid w:val="43E5717F"/>
    <w:rsid w:val="445B7D72"/>
    <w:rsid w:val="45C10B5F"/>
    <w:rsid w:val="47013F92"/>
    <w:rsid w:val="475F1FDB"/>
    <w:rsid w:val="4995105C"/>
    <w:rsid w:val="4A6D4EB4"/>
    <w:rsid w:val="4EBD15FA"/>
    <w:rsid w:val="4EEF2101"/>
    <w:rsid w:val="4F7C127E"/>
    <w:rsid w:val="50067498"/>
    <w:rsid w:val="50A672A6"/>
    <w:rsid w:val="51B701A5"/>
    <w:rsid w:val="553C4353"/>
    <w:rsid w:val="55EE615F"/>
    <w:rsid w:val="56020701"/>
    <w:rsid w:val="59507BE2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071676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AA810C7"/>
    <w:rsid w:val="7BE72557"/>
    <w:rsid w:val="7C9646E1"/>
    <w:rsid w:val="7D802206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qFormat/>
    <w:uiPriority w:val="99"/>
    <w:pPr>
      <w:spacing w:after="120" w:line="480" w:lineRule="auto"/>
    </w:pPr>
  </w:style>
  <w:style w:type="paragraph" w:styleId="6">
    <w:name w:val="Body Text First Indent 2"/>
    <w:basedOn w:val="4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NormalCharacter"/>
    <w:qFormat/>
    <w:uiPriority w:val="0"/>
  </w:style>
  <w:style w:type="paragraph" w:customStyle="1" w:styleId="14">
    <w:name w:val="UserStyle_40"/>
    <w:qFormat/>
    <w:uiPriority w:val="0"/>
    <w:pPr>
      <w:spacing w:before="120" w:after="240"/>
      <w:jc w:val="both"/>
      <w:textAlignment w:val="baseline"/>
    </w:pPr>
    <w:rPr>
      <w:rFonts w:ascii="Times New Roman" w:hAnsi="Times New Roman" w:eastAsia="Calibri" w:cs="宋体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1468</Characters>
  <Lines>0</Lines>
  <Paragraphs>0</Paragraphs>
  <TotalTime>8</TotalTime>
  <ScaleCrop>false</ScaleCrop>
  <LinksUpToDate>false</LinksUpToDate>
  <CharactersWithSpaces>1707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WPS_1665799024</cp:lastModifiedBy>
  <cp:lastPrinted>2023-12-12T02:58:42Z</cp:lastPrinted>
  <dcterms:modified xsi:type="dcterms:W3CDTF">2023-12-12T03:00:56Z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091DDAECA722471C9350C3F94238431E</vt:lpwstr>
  </property>
</Properties>
</file>