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岱岳制盐</w:t>
      </w:r>
      <w:r>
        <w:rPr>
          <w:rFonts w:hint="eastAsia" w:ascii="方正小标宋简体" w:hAnsi="Times New Roman" w:eastAsia="方正小标宋简体" w:cs="Times New Roman"/>
          <w:sz w:val="44"/>
          <w:szCs w:val="44"/>
        </w:rPr>
        <w:t>有限公司</w:t>
      </w:r>
    </w:p>
    <w:p>
      <w:pPr>
        <w:spacing w:line="0" w:lineRule="atLeas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分装车间自动装车设备遮雨棚建设及钢构基础二次浇筑项目</w:t>
      </w:r>
    </w:p>
    <w:p>
      <w:pPr>
        <w:spacing w:line="0" w:lineRule="atLeast"/>
        <w:jc w:val="center"/>
        <w:rPr>
          <w:rFonts w:ascii="方正小标宋简体" w:hAnsi="宋体" w:eastAsia="方正小标宋简体"/>
          <w:sz w:val="44"/>
          <w:szCs w:val="44"/>
        </w:rPr>
      </w:pPr>
    </w:p>
    <w:p>
      <w:pPr>
        <w:spacing w:line="0" w:lineRule="atLeast"/>
        <w:jc w:val="center"/>
        <w:rPr>
          <w:rFonts w:ascii="方正小标宋简体" w:hAnsi="宋体" w:eastAsia="方正小标宋简体"/>
          <w:sz w:val="44"/>
          <w:szCs w:val="44"/>
        </w:rPr>
      </w:pPr>
    </w:p>
    <w:p>
      <w:pPr>
        <w:spacing w:line="0" w:lineRule="atLeast"/>
        <w:jc w:val="center"/>
        <w:rPr>
          <w:rFonts w:ascii="方正小标宋简体" w:hAnsi="宋体" w:eastAsia="方正小标宋简体"/>
          <w:sz w:val="72"/>
          <w:szCs w:val="72"/>
        </w:rPr>
      </w:pPr>
      <w:r>
        <w:rPr>
          <w:rFonts w:hint="eastAsia" w:ascii="方正小标宋简体" w:hAnsi="黑体" w:eastAsia="方正小标宋简体" w:cs="Times New Roman"/>
          <w:sz w:val="72"/>
          <w:szCs w:val="72"/>
        </w:rPr>
        <w:t>招标文件</w:t>
      </w:r>
    </w:p>
    <w:p>
      <w:pPr>
        <w:jc w:val="center"/>
        <w:rPr>
          <w:rFonts w:ascii="楷体_GB2312" w:hAnsi="Times New Roman" w:eastAsia="楷体_GB2312" w:cs="Times New Roman"/>
          <w:sz w:val="32"/>
          <w:szCs w:val="32"/>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黑体" w:hAnsi="黑体" w:eastAsia="黑体" w:cs="Times New Roman"/>
          <w:sz w:val="32"/>
          <w:szCs w:val="24"/>
        </w:rPr>
      </w:pPr>
    </w:p>
    <w:p>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3045</w:t>
      </w: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pStyle w:val="3"/>
        <w:rPr>
          <w:rFonts w:ascii="黑体" w:hAnsi="黑体" w:eastAsia="黑体" w:cs="Times New Roman"/>
          <w:sz w:val="32"/>
          <w:szCs w:val="24"/>
        </w:rPr>
      </w:pPr>
    </w:p>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pPr>
        <w:jc w:val="center"/>
        <w:rPr>
          <w:rFonts w:hint="eastAsia" w:ascii="方正小标宋简体" w:hAnsi="宋体" w:eastAsia="方正小标宋简体" w:cs="Times New Roman"/>
          <w:sz w:val="44"/>
          <w:szCs w:val="44"/>
        </w:rPr>
      </w:pP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w:t>
      </w:r>
      <w:r>
        <w:rPr>
          <w:rFonts w:hint="eastAsia" w:ascii="黑体" w:hAnsi="黑体" w:eastAsia="黑体" w:cs="Times New Roman"/>
          <w:sz w:val="32"/>
          <w:szCs w:val="24"/>
        </w:rPr>
        <w:t>年</w:t>
      </w:r>
      <w:r>
        <w:rPr>
          <w:rFonts w:hint="eastAsia" w:ascii="黑体" w:hAnsi="黑体" w:eastAsia="黑体" w:cs="Times New Roman"/>
          <w:sz w:val="32"/>
          <w:szCs w:val="24"/>
          <w:lang w:val="en-US" w:eastAsia="zh-CN"/>
        </w:rPr>
        <w:t>8</w:t>
      </w:r>
      <w:r>
        <w:rPr>
          <w:rFonts w:hint="eastAsia" w:ascii="黑体" w:hAnsi="黑体" w:eastAsia="黑体" w:cs="Times New Roman"/>
          <w:sz w:val="32"/>
          <w:szCs w:val="24"/>
        </w:rPr>
        <w:t>月</w:t>
      </w:r>
      <w:r>
        <w:rPr>
          <w:rFonts w:hint="eastAsia" w:ascii="黑体" w:hAnsi="黑体" w:eastAsia="黑体" w:cs="Times New Roman"/>
          <w:sz w:val="32"/>
          <w:szCs w:val="24"/>
          <w:lang w:val="en-US" w:eastAsia="zh-CN"/>
        </w:rPr>
        <w:t>18日</w:t>
      </w:r>
    </w:p>
    <w:p>
      <w:pPr>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第一章 招标公告</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一、招标条件</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分装车间自动装车设备遮雨棚建设及钢构基础二次浇筑项目</w:t>
      </w:r>
      <w:r>
        <w:rPr>
          <w:rFonts w:hint="eastAsia" w:ascii="仿宋_GB2312" w:hAnsi="宋体" w:eastAsia="仿宋_GB2312" w:cs="Times New Roman"/>
          <w:sz w:val="32"/>
          <w:szCs w:val="32"/>
        </w:rPr>
        <w:t>，招标单位为</w:t>
      </w:r>
      <w:r>
        <w:rPr>
          <w:rFonts w:hint="eastAsia" w:ascii="仿宋_GB2312" w:hAnsi="宋体" w:eastAsia="仿宋_GB2312" w:cs="Times New Roman"/>
          <w:sz w:val="32"/>
          <w:szCs w:val="32"/>
          <w:lang w:eastAsia="zh-CN"/>
        </w:rPr>
        <w:t>山东岱岳制盐</w:t>
      </w:r>
      <w:r>
        <w:rPr>
          <w:rFonts w:hint="eastAsia" w:ascii="仿宋_GB2312" w:hAnsi="宋体" w:eastAsia="仿宋_GB2312" w:cs="Times New Roman"/>
          <w:sz w:val="32"/>
          <w:szCs w:val="32"/>
        </w:rPr>
        <w:t>有限公司，该项目已具备招标条件，现对该项目</w:t>
      </w:r>
      <w:r>
        <w:rPr>
          <w:rFonts w:hint="eastAsia" w:ascii="仿宋_GB2312" w:hAnsi="宋体" w:eastAsia="仿宋_GB2312" w:cs="Times New Roman"/>
          <w:sz w:val="32"/>
          <w:szCs w:val="32"/>
          <w:lang w:eastAsia="zh-CN"/>
        </w:rPr>
        <w:t>采购和施工</w:t>
      </w:r>
      <w:r>
        <w:rPr>
          <w:rFonts w:hint="eastAsia" w:ascii="仿宋_GB2312" w:hAnsi="宋体" w:eastAsia="仿宋_GB2312" w:cs="Times New Roman"/>
          <w:sz w:val="32"/>
          <w:szCs w:val="32"/>
        </w:rPr>
        <w:t>进行</w:t>
      </w:r>
      <w:r>
        <w:rPr>
          <w:rFonts w:hint="eastAsia" w:ascii="仿宋_GB2312" w:hAnsi="宋体" w:eastAsia="仿宋_GB2312" w:cs="Times New Roman"/>
          <w:sz w:val="32"/>
          <w:szCs w:val="32"/>
          <w:lang w:eastAsia="zh-CN"/>
        </w:rPr>
        <w:t>询比价</w:t>
      </w:r>
      <w:r>
        <w:rPr>
          <w:rFonts w:hint="eastAsia" w:ascii="仿宋_GB2312" w:hAnsi="宋体" w:eastAsia="仿宋_GB2312" w:cs="Times New Roman"/>
          <w:sz w:val="32"/>
          <w:szCs w:val="32"/>
        </w:rPr>
        <w:t>招标。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二、项目概况与招标范围</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eastAsia="zh-CN"/>
        </w:rPr>
        <w:t>项目名称：分装车间自动装车设备遮雨棚建设及钢构基础二次浇筑项目</w:t>
      </w:r>
      <w:r>
        <w:rPr>
          <w:rFonts w:hint="eastAsia" w:ascii="仿宋_GB2312" w:hAnsi="宋体" w:eastAsia="仿宋_GB2312" w:cs="Times New Roman"/>
          <w:sz w:val="32"/>
          <w:szCs w:val="32"/>
          <w:lang w:val="zh-CN" w:eastAsia="zh-CN"/>
        </w:rPr>
        <w:t>。</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2、项目地点：山东岱岳制盐</w:t>
      </w:r>
      <w:r>
        <w:rPr>
          <w:rFonts w:hint="eastAsia" w:ascii="仿宋_GB2312" w:hAnsi="宋体" w:eastAsia="仿宋_GB2312" w:cs="Times New Roman"/>
          <w:sz w:val="32"/>
          <w:szCs w:val="32"/>
        </w:rPr>
        <w:t>有限公司</w:t>
      </w:r>
      <w:r>
        <w:rPr>
          <w:rFonts w:hint="eastAsia" w:ascii="仿宋_GB2312" w:hAnsi="宋体" w:eastAsia="仿宋_GB2312" w:cs="Times New Roman"/>
          <w:sz w:val="32"/>
          <w:szCs w:val="32"/>
          <w:lang w:eastAsia="zh-CN"/>
        </w:rPr>
        <w:t>院内。</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3.1 分装车间全自动装车设备遮雨棚建设及钢构基础二次浇筑，二次浇筑包含设备主体钢构基础及轨道钢构基础，为交钥匙工程；</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3.2 遮雨棚建设项目：</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3.2.1 雨棚总长30000mm，宽9500mm，梁底高10000mm，中间起脊，雨水自两侧顺势流淌，彩钢板采用单层彩钢板，详图如下：</w:t>
      </w:r>
    </w:p>
    <w:p>
      <w:pPr>
        <w:pStyle w:val="2"/>
        <w:ind w:left="0" w:leftChars="0" w:firstLine="0" w:firstLineChars="0"/>
        <w:jc w:val="left"/>
      </w:pPr>
      <w:r>
        <w:drawing>
          <wp:inline distT="0" distB="0" distL="114300" distR="114300">
            <wp:extent cx="2684780" cy="2101850"/>
            <wp:effectExtent l="0" t="0" r="1270" b="1270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5"/>
                    <a:stretch>
                      <a:fillRect/>
                    </a:stretch>
                  </pic:blipFill>
                  <pic:spPr>
                    <a:xfrm>
                      <a:off x="0" y="0"/>
                      <a:ext cx="2684780" cy="2101850"/>
                    </a:xfrm>
                    <a:prstGeom prst="rect">
                      <a:avLst/>
                    </a:prstGeom>
                    <a:noFill/>
                    <a:ln>
                      <a:noFill/>
                    </a:ln>
                  </pic:spPr>
                </pic:pic>
              </a:graphicData>
            </a:graphic>
          </wp:inline>
        </w:drawing>
      </w:r>
      <w:r>
        <w:drawing>
          <wp:inline distT="0" distB="0" distL="114300" distR="114300">
            <wp:extent cx="2768600" cy="2100580"/>
            <wp:effectExtent l="0" t="0" r="12700" b="1397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6"/>
                    <a:stretch>
                      <a:fillRect/>
                    </a:stretch>
                  </pic:blipFill>
                  <pic:spPr>
                    <a:xfrm>
                      <a:off x="0" y="0"/>
                      <a:ext cx="2768600" cy="2100580"/>
                    </a:xfrm>
                    <a:prstGeom prst="rect">
                      <a:avLst/>
                    </a:prstGeom>
                    <a:noFill/>
                    <a:ln>
                      <a:noFill/>
                    </a:ln>
                  </pic:spPr>
                </pic:pic>
              </a:graphicData>
            </a:graphic>
          </wp:inline>
        </w:drawing>
      </w:r>
      <w:bookmarkStart w:id="9" w:name="_GoBack"/>
      <w:bookmarkEnd w:id="9"/>
    </w:p>
    <w:p>
      <w:pPr>
        <w:pStyle w:val="2"/>
        <w:ind w:left="0" w:leftChars="0" w:firstLine="0" w:firstLineChars="0"/>
        <w:jc w:val="left"/>
      </w:pPr>
    </w:p>
    <w:p>
      <w:pPr>
        <w:pStyle w:val="2"/>
        <w:ind w:left="0" w:leftChars="0" w:firstLine="0" w:firstLineChars="0"/>
        <w:jc w:val="left"/>
      </w:pPr>
      <w:r>
        <w:drawing>
          <wp:inline distT="0" distB="0" distL="114300" distR="114300">
            <wp:extent cx="3508375" cy="4314825"/>
            <wp:effectExtent l="0" t="0" r="1587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3508375" cy="4314825"/>
                    </a:xfrm>
                    <a:prstGeom prst="rect">
                      <a:avLst/>
                    </a:prstGeom>
                    <a:noFill/>
                    <a:ln>
                      <a:noFill/>
                    </a:ln>
                  </pic:spPr>
                </pic:pic>
              </a:graphicData>
            </a:graphic>
          </wp:inline>
        </w:drawing>
      </w:r>
      <w:r>
        <w:drawing>
          <wp:inline distT="0" distB="0" distL="114300" distR="114300">
            <wp:extent cx="5542280" cy="1758315"/>
            <wp:effectExtent l="0" t="0" r="1270" b="133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5542280" cy="1758315"/>
                    </a:xfrm>
                    <a:prstGeom prst="rect">
                      <a:avLst/>
                    </a:prstGeom>
                    <a:noFill/>
                    <a:ln>
                      <a:noFill/>
                    </a:ln>
                  </pic:spPr>
                </pic:pic>
              </a:graphicData>
            </a:graphic>
          </wp:inline>
        </w:drawing>
      </w:r>
    </w:p>
    <w:p>
      <w:pPr>
        <w:pStyle w:val="2"/>
        <w:ind w:left="0" w:leftChars="0" w:firstLine="0" w:firstLineChars="0"/>
        <w:jc w:val="center"/>
        <w:rPr>
          <w:rFonts w:hint="eastAsia"/>
          <w:sz w:val="24"/>
          <w:szCs w:val="28"/>
          <w:lang w:val="en-US" w:eastAsia="zh-CN"/>
        </w:rPr>
      </w:pPr>
      <w:r>
        <w:rPr>
          <w:rFonts w:hint="eastAsia"/>
          <w:sz w:val="24"/>
          <w:szCs w:val="28"/>
          <w:lang w:val="en-US" w:eastAsia="zh-CN"/>
        </w:rPr>
        <w:t>屋面支撑布置图及构件表</w:t>
      </w:r>
    </w:p>
    <w:p>
      <w:pPr>
        <w:pStyle w:val="2"/>
        <w:ind w:left="0" w:leftChars="0" w:firstLine="0" w:firstLineChars="0"/>
        <w:jc w:val="center"/>
      </w:pPr>
      <w:r>
        <w:drawing>
          <wp:inline distT="0" distB="0" distL="114300" distR="114300">
            <wp:extent cx="4213860" cy="5099685"/>
            <wp:effectExtent l="0" t="0" r="15240" b="571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4213860" cy="5099685"/>
                    </a:xfrm>
                    <a:prstGeom prst="rect">
                      <a:avLst/>
                    </a:prstGeom>
                    <a:noFill/>
                    <a:ln>
                      <a:noFill/>
                    </a:ln>
                  </pic:spPr>
                </pic:pic>
              </a:graphicData>
            </a:graphic>
          </wp:inline>
        </w:drawing>
      </w:r>
    </w:p>
    <w:p>
      <w:pPr>
        <w:pStyle w:val="2"/>
        <w:ind w:left="0" w:leftChars="0" w:firstLine="0" w:firstLineChars="0"/>
        <w:jc w:val="center"/>
      </w:pPr>
      <w:r>
        <w:drawing>
          <wp:inline distT="0" distB="0" distL="114300" distR="114300">
            <wp:extent cx="5538470" cy="3212465"/>
            <wp:effectExtent l="0" t="0" r="5080" b="698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tretch>
                      <a:fillRect/>
                    </a:stretch>
                  </pic:blipFill>
                  <pic:spPr>
                    <a:xfrm>
                      <a:off x="0" y="0"/>
                      <a:ext cx="5538470" cy="3212465"/>
                    </a:xfrm>
                    <a:prstGeom prst="rect">
                      <a:avLst/>
                    </a:prstGeom>
                    <a:noFill/>
                    <a:ln>
                      <a:noFill/>
                    </a:ln>
                  </pic:spPr>
                </pic:pic>
              </a:graphicData>
            </a:graphic>
          </wp:inline>
        </w:drawing>
      </w:r>
    </w:p>
    <w:p>
      <w:pPr>
        <w:pStyle w:val="2"/>
        <w:ind w:left="0" w:leftChars="0" w:firstLine="0" w:firstLineChars="0"/>
        <w:jc w:val="center"/>
        <w:rPr>
          <w:rFonts w:hint="eastAsia" w:eastAsiaTheme="minorEastAsia"/>
          <w:lang w:val="en-US" w:eastAsia="zh-CN"/>
        </w:rPr>
      </w:pPr>
      <w:r>
        <w:rPr>
          <w:rFonts w:hint="eastAsia"/>
          <w:lang w:eastAsia="zh-CN"/>
        </w:rPr>
        <w:t>屋面檩条布置图及构件表</w:t>
      </w:r>
    </w:p>
    <w:p>
      <w:pPr>
        <w:snapToGrid/>
        <w:spacing w:before="0" w:beforeAutospacing="0" w:after="0" w:afterAutospacing="0" w:line="240" w:lineRule="auto"/>
        <w:ind w:firstLine="960" w:firstLineChars="300"/>
        <w:jc w:val="left"/>
        <w:textAlignment w:val="auto"/>
        <w:rPr>
          <w:rFonts w:hint="eastAsia" w:ascii="仿宋_GB2312" w:eastAsia="仿宋_GB2312"/>
          <w:b w:val="0"/>
          <w:i w:val="0"/>
          <w:caps w:val="0"/>
          <w:spacing w:val="0"/>
          <w:w w:val="100"/>
          <w:sz w:val="30"/>
          <w:szCs w:val="30"/>
          <w:lang w:val="en-US" w:eastAsia="zh-CN"/>
        </w:rPr>
      </w:pPr>
      <w:r>
        <w:rPr>
          <w:rFonts w:hint="eastAsia" w:ascii="仿宋_GB2312" w:hAnsi="宋体" w:eastAsia="仿宋_GB2312" w:cs="Times New Roman"/>
          <w:b w:val="0"/>
          <w:i w:val="0"/>
          <w:caps w:val="0"/>
          <w:spacing w:val="0"/>
          <w:w w:val="100"/>
          <w:sz w:val="32"/>
          <w:szCs w:val="32"/>
          <w:lang w:val="en-US" w:eastAsia="zh-CN"/>
        </w:rPr>
        <w:t>3.2.2 基础立柱共计10根，采用300mmH钢制作，南北向间距7000mm，单列5根，东西向间距9500mm。</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3.2.3 柱脚需打基础，柱脚基底标高为-1.5m，柱脚节点具体图纸如下：</w:t>
      </w:r>
    </w:p>
    <w:p>
      <w:pPr>
        <w:snapToGrid w:val="0"/>
        <w:spacing w:before="0" w:beforeAutospacing="0" w:after="0" w:afterAutospacing="0" w:line="360" w:lineRule="auto"/>
        <w:ind w:firstLine="420" w:firstLineChars="200"/>
        <w:jc w:val="center"/>
        <w:textAlignment w:val="baseline"/>
        <w:rPr>
          <w:rFonts w:hint="eastAsia" w:ascii="仿宋_GB2312" w:eastAsia="仿宋_GB2312"/>
          <w:b w:val="0"/>
          <w:i w:val="0"/>
          <w:caps w:val="0"/>
          <w:spacing w:val="0"/>
          <w:w w:val="100"/>
          <w:sz w:val="30"/>
          <w:szCs w:val="30"/>
          <w:lang w:val="en-US" w:eastAsia="zh-CN"/>
        </w:rPr>
      </w:pPr>
      <w:r>
        <w:drawing>
          <wp:inline distT="0" distB="0" distL="114300" distR="114300">
            <wp:extent cx="3096895" cy="2527935"/>
            <wp:effectExtent l="0" t="0" r="825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096895" cy="2527935"/>
                    </a:xfrm>
                    <a:prstGeom prst="rect">
                      <a:avLst/>
                    </a:prstGeom>
                    <a:noFill/>
                    <a:ln>
                      <a:noFill/>
                    </a:ln>
                  </pic:spPr>
                </pic:pic>
              </a:graphicData>
            </a:graphic>
          </wp:inline>
        </w:drawing>
      </w:r>
    </w:p>
    <w:p>
      <w:pPr>
        <w:pStyle w:val="2"/>
        <w:ind w:left="0" w:leftChars="0" w:firstLine="0" w:firstLineChars="0"/>
        <w:jc w:val="center"/>
        <w:rPr>
          <w:rFonts w:hint="eastAsia"/>
          <w:lang w:val="en-US" w:eastAsia="zh-CN"/>
        </w:rPr>
      </w:pPr>
      <w:r>
        <w:rPr>
          <w:rFonts w:hint="eastAsia"/>
          <w:b/>
          <w:bCs/>
          <w:sz w:val="24"/>
          <w:szCs w:val="32"/>
          <w:lang w:val="en-US" w:eastAsia="zh-CN"/>
        </w:rPr>
        <w:t>柱脚节点大样图</w:t>
      </w:r>
    </w:p>
    <w:p>
      <w:pPr>
        <w:pStyle w:val="2"/>
        <w:rPr>
          <w:rFonts w:hint="eastAsia" w:ascii="仿宋_GB2312" w:hAnsi="宋体" w:eastAsia="仿宋_GB2312" w:cs="Times New Roman"/>
          <w:b w:val="0"/>
          <w:i w:val="0"/>
          <w:caps w:val="0"/>
          <w:spacing w:val="0"/>
          <w:w w:val="100"/>
          <w:kern w:val="2"/>
          <w:sz w:val="32"/>
          <w:szCs w:val="32"/>
          <w:lang w:val="en-US" w:eastAsia="zh-CN" w:bidi="ar-SA"/>
        </w:rPr>
      </w:pPr>
      <w:r>
        <w:rPr>
          <w:rFonts w:hint="eastAsia" w:ascii="仿宋_GB2312" w:hAnsi="宋体" w:eastAsia="仿宋_GB2312" w:cs="Times New Roman"/>
          <w:b w:val="0"/>
          <w:i w:val="0"/>
          <w:caps w:val="0"/>
          <w:spacing w:val="0"/>
          <w:w w:val="100"/>
          <w:kern w:val="2"/>
          <w:sz w:val="32"/>
          <w:szCs w:val="32"/>
          <w:lang w:val="en-US" w:eastAsia="zh-CN" w:bidi="ar-SA"/>
        </w:rPr>
        <w:t>3.2.4 柱脚基础俯视图如下：</w:t>
      </w:r>
    </w:p>
    <w:p>
      <w:pPr>
        <w:pStyle w:val="2"/>
        <w:jc w:val="center"/>
        <w:rPr>
          <w:rFonts w:hint="default"/>
          <w:lang w:val="en-US" w:eastAsia="zh-CN"/>
        </w:rPr>
      </w:pPr>
      <w:r>
        <w:drawing>
          <wp:inline distT="0" distB="0" distL="114300" distR="114300">
            <wp:extent cx="3705225" cy="3680460"/>
            <wp:effectExtent l="0" t="0" r="952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705225" cy="3680460"/>
                    </a:xfrm>
                    <a:prstGeom prst="rect">
                      <a:avLst/>
                    </a:prstGeom>
                    <a:noFill/>
                    <a:ln>
                      <a:noFill/>
                    </a:ln>
                  </pic:spPr>
                </pic:pic>
              </a:graphicData>
            </a:graphic>
          </wp:inline>
        </w:drawing>
      </w:r>
    </w:p>
    <w:p>
      <w:pPr>
        <w:snapToGrid w:val="0"/>
        <w:spacing w:before="0" w:beforeAutospacing="0" w:after="0" w:afterAutospacing="0" w:line="360" w:lineRule="auto"/>
        <w:jc w:val="center"/>
        <w:textAlignment w:val="baseline"/>
        <w:rPr>
          <w:rFonts w:hint="eastAsia" w:asciiTheme="minorHAnsi" w:hAnsiTheme="minorHAnsi" w:eastAsiaTheme="minorEastAsia" w:cstheme="minorBidi"/>
          <w:b/>
          <w:bCs/>
          <w:kern w:val="2"/>
          <w:sz w:val="24"/>
          <w:szCs w:val="32"/>
          <w:lang w:val="en-US" w:eastAsia="zh-CN" w:bidi="ar-SA"/>
        </w:rPr>
      </w:pPr>
      <w:r>
        <w:rPr>
          <w:rFonts w:hint="eastAsia" w:cstheme="minorBidi"/>
          <w:b/>
          <w:bCs/>
          <w:kern w:val="2"/>
          <w:sz w:val="24"/>
          <w:szCs w:val="32"/>
          <w:lang w:val="en-US" w:eastAsia="zh-CN" w:bidi="ar-SA"/>
        </w:rPr>
        <w:t>柱脚</w:t>
      </w:r>
      <w:r>
        <w:rPr>
          <w:rFonts w:hint="eastAsia" w:asciiTheme="minorHAnsi" w:hAnsiTheme="minorHAnsi" w:eastAsiaTheme="minorEastAsia" w:cstheme="minorBidi"/>
          <w:b/>
          <w:bCs/>
          <w:kern w:val="2"/>
          <w:sz w:val="24"/>
          <w:szCs w:val="32"/>
          <w:lang w:val="en-US" w:eastAsia="zh-CN" w:bidi="ar-SA"/>
        </w:rPr>
        <w:t>基础俯视图</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3.3 设备钢构基础及轨道钢构基础的二次浇筑：</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3.3.1 设备钢构基础：</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1）钢构基座共计有12件，由1片500*300mm的方形法兰、1片550*350mm的找平垫板组成及4套M24*300mm化学螺栓组成，螺栓打入原有水泥地面100mm，地面以上200mm，钢构基座由其他单位负责施工。</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2）待钢构基座安装并调平后进行钢构基础的二次浇筑，钢构基础浇筑尺寸为800*470*90mm，共计浇筑12件。</w:t>
      </w:r>
    </w:p>
    <w:p>
      <w:pPr>
        <w:numPr>
          <w:ilvl w:val="0"/>
          <w:numId w:val="0"/>
        </w:numPr>
        <w:jc w:val="both"/>
        <w:rPr>
          <w:rFonts w:hint="eastAsia"/>
          <w:b/>
          <w:bCs/>
          <w:sz w:val="24"/>
          <w:szCs w:val="32"/>
          <w:lang w:val="en-US" w:eastAsia="zh-CN"/>
        </w:rPr>
      </w:pPr>
      <w:r>
        <w:drawing>
          <wp:inline distT="0" distB="0" distL="114300" distR="114300">
            <wp:extent cx="5274310" cy="2671445"/>
            <wp:effectExtent l="0" t="0" r="2540" b="1460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3"/>
                    <a:stretch>
                      <a:fillRect/>
                    </a:stretch>
                  </pic:blipFill>
                  <pic:spPr>
                    <a:xfrm>
                      <a:off x="0" y="0"/>
                      <a:ext cx="5274310" cy="2671445"/>
                    </a:xfrm>
                    <a:prstGeom prst="rect">
                      <a:avLst/>
                    </a:prstGeom>
                    <a:noFill/>
                    <a:ln>
                      <a:noFill/>
                    </a:ln>
                  </pic:spPr>
                </pic:pic>
              </a:graphicData>
            </a:graphic>
          </wp:inline>
        </w:drawing>
      </w:r>
    </w:p>
    <w:p>
      <w:pPr>
        <w:numPr>
          <w:ilvl w:val="0"/>
          <w:numId w:val="0"/>
        </w:numPr>
        <w:jc w:val="center"/>
        <w:rPr>
          <w:rFonts w:hint="eastAsia"/>
          <w:b/>
          <w:bCs/>
          <w:sz w:val="24"/>
          <w:szCs w:val="32"/>
          <w:lang w:val="en-US" w:eastAsia="zh-CN"/>
        </w:rPr>
      </w:pPr>
      <w:r>
        <w:rPr>
          <w:rFonts w:hint="eastAsia"/>
          <w:b/>
          <w:bCs/>
          <w:sz w:val="24"/>
          <w:szCs w:val="32"/>
          <w:lang w:val="en-US" w:eastAsia="zh-CN"/>
        </w:rPr>
        <w:t>钢构基础剖面图</w:t>
      </w:r>
    </w:p>
    <w:p>
      <w:pPr>
        <w:numPr>
          <w:ilvl w:val="0"/>
          <w:numId w:val="0"/>
        </w:numPr>
        <w:jc w:val="center"/>
        <w:rPr>
          <w:rFonts w:hint="eastAsia"/>
          <w:b/>
          <w:bCs/>
          <w:sz w:val="24"/>
          <w:szCs w:val="32"/>
          <w:lang w:val="en-US" w:eastAsia="zh-CN"/>
        </w:rPr>
      </w:pPr>
    </w:p>
    <w:p>
      <w:pPr>
        <w:numPr>
          <w:ilvl w:val="0"/>
          <w:numId w:val="0"/>
        </w:numPr>
        <w:jc w:val="center"/>
        <w:rPr>
          <w:rFonts w:hint="eastAsia"/>
          <w:b/>
          <w:bCs/>
          <w:sz w:val="24"/>
          <w:szCs w:val="32"/>
          <w:lang w:val="en-US" w:eastAsia="zh-CN"/>
        </w:rPr>
      </w:pPr>
      <w:r>
        <w:drawing>
          <wp:inline distT="0" distB="0" distL="114300" distR="114300">
            <wp:extent cx="5265420" cy="1713865"/>
            <wp:effectExtent l="0" t="0" r="1143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5265420" cy="1713865"/>
                    </a:xfrm>
                    <a:prstGeom prst="rect">
                      <a:avLst/>
                    </a:prstGeom>
                    <a:noFill/>
                    <a:ln>
                      <a:noFill/>
                    </a:ln>
                  </pic:spPr>
                </pic:pic>
              </a:graphicData>
            </a:graphic>
          </wp:inline>
        </w:drawing>
      </w:r>
    </w:p>
    <w:p>
      <w:pPr>
        <w:numPr>
          <w:ilvl w:val="0"/>
          <w:numId w:val="0"/>
        </w:numPr>
        <w:jc w:val="center"/>
        <w:rPr>
          <w:rFonts w:hint="eastAsia"/>
          <w:b/>
          <w:bCs/>
          <w:sz w:val="24"/>
          <w:szCs w:val="32"/>
          <w:lang w:val="en-US" w:eastAsia="zh-CN"/>
        </w:rPr>
      </w:pPr>
      <w:r>
        <w:rPr>
          <w:rFonts w:hint="eastAsia"/>
          <w:b/>
          <w:bCs/>
          <w:sz w:val="24"/>
          <w:szCs w:val="32"/>
          <w:lang w:val="en-US" w:eastAsia="zh-CN"/>
        </w:rPr>
        <w:t>钢构地基尺寸图</w:t>
      </w:r>
    </w:p>
    <w:p>
      <w:pPr>
        <w:numPr>
          <w:ilvl w:val="0"/>
          <w:numId w:val="0"/>
        </w:numPr>
        <w:jc w:val="both"/>
        <w:rPr>
          <w:rFonts w:hint="eastAsia"/>
          <w:b/>
          <w:bCs/>
          <w:sz w:val="24"/>
          <w:szCs w:val="32"/>
          <w:lang w:val="en-US" w:eastAsia="zh-CN"/>
        </w:rPr>
      </w:pP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3.3.2 轨道钢构基础：</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1）轨道共计2条，每条长度为21m，轨道基座共58件，由2条100*50mm轨道压板、1片300*180mm的找平垫板组成及4套M20*260mm化学螺栓组成，螺栓打入原有水泥地面86mm，地面以上174mm，轨道基座由其他单位负责施工。</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2）待轨道基座安装并调平后进行轨道基础的二次浇筑，轨道基础浇筑尺寸为21300*400*90mm，共计浇筑2条。</w:t>
      </w:r>
    </w:p>
    <w:p>
      <w:pPr>
        <w:numPr>
          <w:ilvl w:val="0"/>
          <w:numId w:val="0"/>
        </w:numPr>
        <w:ind w:firstLine="480"/>
        <w:jc w:val="both"/>
      </w:pPr>
      <w:r>
        <w:drawing>
          <wp:inline distT="0" distB="0" distL="114300" distR="114300">
            <wp:extent cx="5264150" cy="2944495"/>
            <wp:effectExtent l="0" t="0" r="12700" b="825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5264150" cy="2944495"/>
                    </a:xfrm>
                    <a:prstGeom prst="rect">
                      <a:avLst/>
                    </a:prstGeom>
                    <a:noFill/>
                    <a:ln>
                      <a:noFill/>
                    </a:ln>
                  </pic:spPr>
                </pic:pic>
              </a:graphicData>
            </a:graphic>
          </wp:inline>
        </w:drawing>
      </w:r>
    </w:p>
    <w:p>
      <w:pPr>
        <w:numPr>
          <w:ilvl w:val="0"/>
          <w:numId w:val="0"/>
        </w:numPr>
        <w:jc w:val="center"/>
        <w:rPr>
          <w:rFonts w:hint="eastAsia"/>
          <w:b/>
          <w:bCs/>
          <w:sz w:val="24"/>
          <w:szCs w:val="32"/>
          <w:lang w:val="en-US" w:eastAsia="zh-CN"/>
        </w:rPr>
      </w:pPr>
      <w:r>
        <w:rPr>
          <w:rFonts w:hint="eastAsia"/>
          <w:b/>
          <w:bCs/>
          <w:sz w:val="24"/>
          <w:szCs w:val="32"/>
          <w:lang w:val="en-US" w:eastAsia="zh-CN"/>
        </w:rPr>
        <w:t>轨道基础剖面图</w:t>
      </w:r>
    </w:p>
    <w:p>
      <w:pPr>
        <w:numPr>
          <w:ilvl w:val="0"/>
          <w:numId w:val="0"/>
        </w:numPr>
        <w:ind w:firstLine="480"/>
        <w:jc w:val="center"/>
      </w:pPr>
      <w:r>
        <w:drawing>
          <wp:inline distT="0" distB="0" distL="114300" distR="114300">
            <wp:extent cx="5268595" cy="1988185"/>
            <wp:effectExtent l="0" t="0" r="8255" b="1206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16"/>
                    <a:stretch>
                      <a:fillRect/>
                    </a:stretch>
                  </pic:blipFill>
                  <pic:spPr>
                    <a:xfrm>
                      <a:off x="0" y="0"/>
                      <a:ext cx="5268595" cy="1988185"/>
                    </a:xfrm>
                    <a:prstGeom prst="rect">
                      <a:avLst/>
                    </a:prstGeom>
                    <a:noFill/>
                    <a:ln>
                      <a:noFill/>
                    </a:ln>
                  </pic:spPr>
                </pic:pic>
              </a:graphicData>
            </a:graphic>
          </wp:inline>
        </w:drawing>
      </w:r>
    </w:p>
    <w:p>
      <w:pPr>
        <w:numPr>
          <w:ilvl w:val="0"/>
          <w:numId w:val="0"/>
        </w:numPr>
        <w:ind w:firstLine="480"/>
        <w:jc w:val="center"/>
        <w:rPr>
          <w:rFonts w:hint="eastAsia"/>
          <w:b/>
          <w:bCs/>
          <w:sz w:val="24"/>
          <w:szCs w:val="32"/>
          <w:lang w:val="en-US" w:eastAsia="zh-CN"/>
        </w:rPr>
      </w:pPr>
      <w:r>
        <w:rPr>
          <w:rFonts w:hint="eastAsia"/>
          <w:b/>
          <w:bCs/>
          <w:sz w:val="24"/>
          <w:szCs w:val="32"/>
          <w:lang w:val="en-US" w:eastAsia="zh-CN"/>
        </w:rPr>
        <w:t>轨道基础尺寸图</w:t>
      </w:r>
    </w:p>
    <w:p>
      <w:pPr>
        <w:pStyle w:val="2"/>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3.3.3 浇筑材料为水泥基灌浆料。</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3.4 施工所需的所有材料及人工均由供应商负责；</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4、工程承包范围：</w:t>
      </w:r>
    </w:p>
    <w:p>
      <w:pPr>
        <w:ind w:firstLine="640" w:firstLineChars="200"/>
        <w:jc w:val="left"/>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4.1施工图纸所规定的所有钢结构部分、土建部分的施工项目和内容，包括轻钢结构、屋面、基础等，为交钥匙工程。</w:t>
      </w:r>
    </w:p>
    <w:p>
      <w:pPr>
        <w:ind w:firstLine="640" w:firstLineChars="200"/>
        <w:jc w:val="left"/>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4.2采购人提供的工作量清单，最终以施工图所规定的所有施工项目和内容为准。</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kern w:val="2"/>
          <w:sz w:val="32"/>
          <w:szCs w:val="32"/>
          <w:lang w:val="en-US" w:eastAsia="zh-CN" w:bidi="ar-SA"/>
        </w:rPr>
        <w:t>4.3本工程采用一次性包死的固定价格。如有调整，双方另行协商。</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5、付款方式：</w:t>
      </w:r>
    </w:p>
    <w:p>
      <w:pPr>
        <w:ind w:firstLine="640" w:firstLineChars="200"/>
        <w:jc w:val="left"/>
        <w:textAlignment w:val="auto"/>
        <w:rPr>
          <w:rFonts w:hint="eastAsia" w:ascii="仿宋_GB2312" w:hAnsi="宋体" w:eastAsia="仿宋_GB2312" w:cs="Times New Roman"/>
          <w:b w:val="0"/>
          <w:i w:val="0"/>
          <w:caps w:val="0"/>
          <w:spacing w:val="0"/>
          <w:w w:val="100"/>
          <w:kern w:val="2"/>
          <w:sz w:val="32"/>
          <w:szCs w:val="32"/>
          <w:lang w:val="en-US" w:eastAsia="zh-CN" w:bidi="ar-SA"/>
        </w:rPr>
      </w:pPr>
      <w:r>
        <w:rPr>
          <w:rFonts w:hint="eastAsia" w:ascii="仿宋_GB2312" w:hAnsi="宋体" w:eastAsia="仿宋_GB2312" w:cs="Times New Roman"/>
          <w:b w:val="0"/>
          <w:i w:val="0"/>
          <w:caps w:val="0"/>
          <w:spacing w:val="0"/>
          <w:w w:val="100"/>
          <w:kern w:val="2"/>
          <w:sz w:val="32"/>
          <w:szCs w:val="32"/>
          <w:lang w:val="en-US" w:eastAsia="zh-CN" w:bidi="ar-SA"/>
        </w:rPr>
        <w:t>5.1施工费用包含单层彩钢板、钢材、商砼、辅材等所有材料、制造、加工、运输、人工、机械、安装、安全施工、保养、税费、保险、第三方验收以及审计、检测等一切费用；</w:t>
      </w:r>
    </w:p>
    <w:p>
      <w:pPr>
        <w:ind w:firstLine="640" w:firstLineChars="200"/>
        <w:jc w:val="left"/>
        <w:textAlignment w:val="auto"/>
        <w:rPr>
          <w:rFonts w:hint="eastAsia" w:ascii="仿宋_GB2312" w:hAnsi="宋体" w:eastAsia="仿宋_GB2312" w:cs="Times New Roman"/>
          <w:b w:val="0"/>
          <w:i w:val="0"/>
          <w:caps w:val="0"/>
          <w:spacing w:val="0"/>
          <w:w w:val="100"/>
          <w:kern w:val="2"/>
          <w:sz w:val="32"/>
          <w:szCs w:val="32"/>
          <w:lang w:val="en-US" w:eastAsia="zh-CN" w:bidi="ar-SA"/>
        </w:rPr>
      </w:pPr>
      <w:r>
        <w:rPr>
          <w:rFonts w:hint="eastAsia" w:ascii="仿宋_GB2312" w:hAnsi="宋体" w:eastAsia="仿宋_GB2312" w:cs="Times New Roman"/>
          <w:b w:val="0"/>
          <w:i w:val="0"/>
          <w:caps w:val="0"/>
          <w:spacing w:val="0"/>
          <w:w w:val="100"/>
          <w:kern w:val="2"/>
          <w:sz w:val="32"/>
          <w:szCs w:val="32"/>
          <w:lang w:val="en-US" w:eastAsia="zh-CN" w:bidi="ar-SA"/>
        </w:rPr>
        <w:t>5.2本工程无预付款,施工完成并经验收合格后，付至结算金额的90%,同时开具全额增值税专用发票。余款10%作为质保金,质保期2年，期满后无质量问题在满1年后20个工作日内支付结算金额的5%，无质量问题在满2年后20个工作日内一次无息付清，付款方式为现汇或电子承兑支付；</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6、其它要求：</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6.1 建议供应商提前踏勘现场后再进行报价；</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6.2 施工过程中，要服从甲方管理，按甲方现场提出的质量要求进行整改；</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6.3 需提供详细的施工方案及安全、环保施工方案，详列施工防护措施、环保措施、安全施工措施等，施工措施必须符合环保要求；</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6.4 质保期：自验收合格之日起2年。</w:t>
      </w:r>
    </w:p>
    <w:p>
      <w:pPr>
        <w:pStyle w:val="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7、工期：</w:t>
      </w:r>
    </w:p>
    <w:p>
      <w:pPr>
        <w:pStyle w:val="2"/>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材料到场且满足施工条件，施工工期25日历天。</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三、投标人资格要求</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（一）投标人为具有独立法人资格的企业；具有独立订立合同的能力，具备出具商业增值税专用发票能力。</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（二）具有良好的商业信誉，投标人未被列入“信用中国”网站(www.creditchina.gov.cn)“失信被执行人”记录名单。</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（三）</w:t>
      </w:r>
      <w:r>
        <w:rPr>
          <w:rFonts w:hint="eastAsia" w:ascii="仿宋_GB2312" w:hAnsi="宋体" w:eastAsia="仿宋_GB2312" w:cs="Times New Roman"/>
          <w:sz w:val="32"/>
          <w:szCs w:val="32"/>
          <w:lang w:eastAsia="zh-CN"/>
        </w:rPr>
        <w:t>须具备建筑</w:t>
      </w:r>
      <w:r>
        <w:rPr>
          <w:rFonts w:hint="eastAsia" w:ascii="仿宋_GB2312" w:hAnsi="黑体" w:eastAsia="仿宋_GB2312"/>
          <w:sz w:val="32"/>
          <w:szCs w:val="32"/>
        </w:rPr>
        <w:t>工程施工总承包</w:t>
      </w:r>
      <w:r>
        <w:rPr>
          <w:rFonts w:hint="eastAsia" w:ascii="仿宋_GB2312" w:hAnsi="黑体" w:eastAsia="仿宋_GB2312"/>
          <w:sz w:val="32"/>
          <w:szCs w:val="32"/>
          <w:lang w:eastAsia="zh-CN"/>
        </w:rPr>
        <w:t>叁</w:t>
      </w:r>
      <w:r>
        <w:rPr>
          <w:rFonts w:hint="eastAsia" w:ascii="仿宋_GB2312" w:hAnsi="黑体" w:eastAsia="仿宋_GB2312"/>
          <w:sz w:val="32"/>
          <w:szCs w:val="32"/>
        </w:rPr>
        <w:t>级</w:t>
      </w:r>
      <w:r>
        <w:rPr>
          <w:rFonts w:hint="eastAsia" w:ascii="仿宋_GB2312" w:hAnsi="黑体" w:eastAsia="仿宋_GB2312"/>
          <w:sz w:val="32"/>
          <w:szCs w:val="32"/>
          <w:lang w:eastAsia="zh-CN"/>
        </w:rPr>
        <w:t>及以上资质，或者具备钢结构施工三级及以上专业资质，并且</w:t>
      </w:r>
      <w:r>
        <w:rPr>
          <w:rFonts w:hint="eastAsia" w:ascii="仿宋_GB2312" w:hAnsi="宋体" w:eastAsia="仿宋_GB2312" w:cs="Times New Roman"/>
          <w:sz w:val="32"/>
          <w:szCs w:val="32"/>
          <w:lang w:eastAsia="zh-CN"/>
        </w:rPr>
        <w:t>具有相关施工经验并</w:t>
      </w:r>
      <w:r>
        <w:rPr>
          <w:rFonts w:hint="eastAsia" w:ascii="仿宋_GB2312" w:hAnsi="宋体" w:eastAsia="仿宋_GB2312" w:cs="Times New Roman"/>
          <w:sz w:val="32"/>
          <w:szCs w:val="32"/>
          <w:lang w:val="zh-CN" w:eastAsia="zh-CN"/>
        </w:rPr>
        <w:t>在人员、设备、资金等方面具有与本项目相适应的施工能力。</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rPr>
        <w:t>本次招标不接受联合体投标。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四、招标文件的获取</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凡有意参加本次项目</w:t>
      </w:r>
      <w:r>
        <w:rPr>
          <w:rFonts w:hint="eastAsia" w:ascii="仿宋_GB2312" w:hAnsi="宋体" w:eastAsia="仿宋_GB2312" w:cs="Times New Roman"/>
          <w:sz w:val="32"/>
          <w:szCs w:val="32"/>
          <w:lang w:eastAsia="zh-CN"/>
        </w:rPr>
        <w:t>招标</w:t>
      </w:r>
      <w:r>
        <w:rPr>
          <w:rFonts w:hint="eastAsia" w:ascii="仿宋_GB2312" w:hAnsi="宋体" w:eastAsia="仿宋_GB2312" w:cs="Times New Roman"/>
          <w:sz w:val="32"/>
          <w:szCs w:val="32"/>
        </w:rPr>
        <w:t>的投标单位，须在</w:t>
      </w:r>
      <w:r>
        <w:rPr>
          <w:rFonts w:hint="eastAsia" w:ascii="仿宋_GB2312" w:hAnsi="宋体" w:eastAsia="仿宋_GB2312" w:cs="Times New Roman"/>
          <w:sz w:val="32"/>
          <w:szCs w:val="32"/>
          <w:lang w:eastAsia="zh-CN"/>
        </w:rPr>
        <w:t>投标</w:t>
      </w:r>
      <w:r>
        <w:rPr>
          <w:rFonts w:hint="eastAsia" w:ascii="仿宋_GB2312" w:hAnsi="宋体" w:eastAsia="仿宋_GB2312" w:cs="Times New Roman"/>
          <w:sz w:val="32"/>
          <w:szCs w:val="32"/>
        </w:rPr>
        <w:t>截止时间前</w:t>
      </w:r>
      <w:r>
        <w:rPr>
          <w:rFonts w:hint="eastAsia" w:ascii="仿宋_GB2312" w:hAnsi="宋体" w:eastAsia="仿宋_GB2312" w:cs="Times New Roman"/>
          <w:sz w:val="32"/>
          <w:szCs w:val="32"/>
          <w:lang w:eastAsia="zh-CN"/>
        </w:rPr>
        <w:t>登录山东岱岳制盐有限公司官网（</w:t>
      </w:r>
      <w:r>
        <w:rPr>
          <w:rFonts w:hint="eastAsia" w:ascii="仿宋_GB2312" w:eastAsia="仿宋_GB2312"/>
          <w:sz w:val="30"/>
          <w:szCs w:val="30"/>
          <w:lang w:val="en-US" w:eastAsia="zh-CN"/>
        </w:rPr>
        <w:t>www.sddyzy.com）</w:t>
      </w:r>
      <w:r>
        <w:rPr>
          <w:rFonts w:hint="eastAsia" w:ascii="仿宋_GB2312" w:hAnsi="宋体" w:eastAsia="仿宋_GB2312" w:cs="Times New Roman"/>
          <w:sz w:val="32"/>
          <w:szCs w:val="32"/>
          <w:lang w:eastAsia="zh-CN"/>
        </w:rPr>
        <w:t>查看相关招标文件，</w:t>
      </w:r>
      <w:r>
        <w:rPr>
          <w:rFonts w:hint="eastAsia" w:ascii="仿宋_GB2312" w:hAnsi="宋体" w:eastAsia="仿宋_GB2312" w:cs="Times New Roman"/>
          <w:sz w:val="32"/>
          <w:szCs w:val="32"/>
        </w:rPr>
        <w:t>自行下载招标文件</w:t>
      </w:r>
      <w:r>
        <w:rPr>
          <w:rFonts w:hint="eastAsia" w:ascii="仿宋_GB2312" w:hAnsi="宋体" w:eastAsia="仿宋_GB2312" w:cs="Times New Roman"/>
          <w:sz w:val="32"/>
          <w:szCs w:val="32"/>
          <w:lang w:eastAsia="zh-CN"/>
        </w:rPr>
        <w:t>填写报名登记表进行报名（附表</w:t>
      </w:r>
      <w:r>
        <w:rPr>
          <w:rFonts w:hint="eastAsia" w:ascii="仿宋_GB2312" w:hAnsi="宋体" w:eastAsia="仿宋_GB2312" w:cs="Times New Roman"/>
          <w:sz w:val="32"/>
          <w:szCs w:val="32"/>
          <w:lang w:val="en-US" w:eastAsia="zh-CN"/>
        </w:rPr>
        <w:t>4）</w:t>
      </w:r>
      <w:r>
        <w:rPr>
          <w:rFonts w:hint="eastAsia" w:ascii="仿宋_GB2312" w:hAnsi="宋体" w:eastAsia="仿宋_GB2312" w:cs="Times New Roman"/>
          <w:sz w:val="32"/>
          <w:szCs w:val="32"/>
          <w:lang w:eastAsia="zh-CN"/>
        </w:rPr>
        <w:t>，如需施工图纸及工程量清单等相关资料的请在报名表中注明，由联系人发放电子版图纸资料，报名联系人：张经理，联系电话：</w:t>
      </w:r>
      <w:r>
        <w:rPr>
          <w:rFonts w:hint="eastAsia" w:ascii="仿宋_GB2312" w:hAnsi="宋体" w:eastAsia="仿宋_GB2312" w:cs="Times New Roman"/>
          <w:sz w:val="32"/>
          <w:szCs w:val="32"/>
          <w:lang w:val="en-US" w:eastAsia="zh-CN"/>
        </w:rPr>
        <w:t>13705382602（微信同号）</w:t>
      </w:r>
      <w:r>
        <w:rPr>
          <w:rFonts w:hint="eastAsia" w:ascii="仿宋_GB2312" w:hAnsi="宋体" w:eastAsia="仿宋_GB2312" w:cs="Times New Roman"/>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五、投标文件的递交</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（一）投标文件递交的截止时间（投标截止时间，下同）为2</w:t>
      </w:r>
      <w:r>
        <w:rPr>
          <w:rFonts w:hint="eastAsia" w:ascii="仿宋_GB2312" w:hAnsi="宋体" w:eastAsia="仿宋_GB2312" w:cs="Times New Roman"/>
          <w:sz w:val="32"/>
          <w:szCs w:val="32"/>
          <w:lang w:val="en-US" w:eastAsia="zh-CN"/>
        </w:rPr>
        <w:t>023年8月22日上午10:00，投标人应在截止时间前通过以下2种方式上传电子投标文件并邮寄至少3份纸质版投标资料</w:t>
      </w:r>
      <w:r>
        <w:rPr>
          <w:rFonts w:hint="eastAsia" w:ascii="仿宋_GB2312" w:hAnsi="黑体" w:eastAsia="仿宋_GB2312" w:cs="Times New Roman"/>
          <w:kern w:val="44"/>
          <w:sz w:val="32"/>
          <w:szCs w:val="44"/>
          <w:u w:val="double"/>
          <w:lang w:val="en-US" w:eastAsia="zh-CN"/>
        </w:rPr>
        <w:t>（加盖公章并密封）</w:t>
      </w:r>
      <w:r>
        <w:rPr>
          <w:rFonts w:hint="eastAsia" w:ascii="仿宋_GB2312" w:hAnsi="宋体" w:eastAsia="仿宋_GB2312" w:cs="Times New Roman"/>
          <w:sz w:val="32"/>
          <w:szCs w:val="32"/>
          <w:lang w:val="en-US" w:eastAsia="zh-CN"/>
        </w:rPr>
        <w:t>至采购人：</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1、线上：</w:t>
      </w:r>
      <w:r>
        <w:rPr>
          <w:rFonts w:hint="eastAsia" w:ascii="仿宋_GB2312" w:hAnsi="黑体" w:eastAsia="仿宋_GB2312" w:cs="Times New Roman"/>
          <w:kern w:val="44"/>
          <w:sz w:val="32"/>
          <w:szCs w:val="44"/>
          <w:u w:val="double"/>
          <w:lang w:eastAsia="zh-CN"/>
        </w:rPr>
        <w:t>登录山东岱岳制盐有限公司官网（</w:t>
      </w:r>
      <w:r>
        <w:rPr>
          <w:rFonts w:hint="eastAsia" w:ascii="仿宋_GB2312" w:hAnsi="黑体" w:eastAsia="仿宋_GB2312" w:cs="Times New Roman"/>
          <w:kern w:val="44"/>
          <w:sz w:val="32"/>
          <w:szCs w:val="44"/>
          <w:u w:val="double"/>
          <w:lang w:val="en-US" w:eastAsia="zh-CN"/>
        </w:rPr>
        <w:t>www.sddyzy.com</w:t>
      </w:r>
      <w:r>
        <w:rPr>
          <w:rFonts w:hint="eastAsia" w:ascii="仿宋_GB2312" w:hAnsi="黑体" w:eastAsia="仿宋_GB2312" w:cs="Times New Roman"/>
          <w:kern w:val="44"/>
          <w:sz w:val="32"/>
          <w:szCs w:val="44"/>
          <w:u w:val="double"/>
          <w:lang w:eastAsia="zh-CN"/>
        </w:rPr>
        <w:t>）查看招标文件</w:t>
      </w:r>
      <w:r>
        <w:rPr>
          <w:rFonts w:hint="eastAsia" w:ascii="仿宋_GB2312" w:hAnsi="黑体" w:eastAsia="仿宋_GB2312" w:cs="Times New Roman"/>
          <w:kern w:val="44"/>
          <w:sz w:val="32"/>
          <w:szCs w:val="44"/>
          <w:u w:val="double"/>
        </w:rPr>
        <w:t>；</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color w:val="auto"/>
          <w:sz w:val="32"/>
          <w:szCs w:val="32"/>
          <w:lang w:val="en-US" w:eastAsia="zh-CN"/>
        </w:rPr>
        <w:t>2、线下：</w:t>
      </w:r>
      <w:r>
        <w:rPr>
          <w:rFonts w:hint="eastAsia" w:ascii="仿宋_GB2312" w:hAnsi="宋体" w:eastAsia="仿宋_GB2312" w:cs="Times New Roman"/>
          <w:color w:val="auto"/>
          <w:sz w:val="32"/>
          <w:szCs w:val="32"/>
          <w:lang w:val="en-US" w:eastAsia="zh-CN"/>
        </w:rPr>
        <w:fldChar w:fldCharType="begin"/>
      </w:r>
      <w:r>
        <w:rPr>
          <w:rFonts w:hint="eastAsia" w:ascii="仿宋_GB2312" w:hAnsi="宋体" w:eastAsia="仿宋_GB2312" w:cs="Times New Roman"/>
          <w:color w:val="auto"/>
          <w:sz w:val="32"/>
          <w:szCs w:val="32"/>
          <w:lang w:val="en-US" w:eastAsia="zh-CN"/>
        </w:rPr>
        <w:instrText xml:space="preserve"> HYPERLINK "mailto:报专用邮箱dyzy009@163.com；" </w:instrText>
      </w:r>
      <w:r>
        <w:rPr>
          <w:rFonts w:hint="eastAsia" w:ascii="仿宋_GB2312" w:hAnsi="宋体" w:eastAsia="仿宋_GB2312" w:cs="Times New Roman"/>
          <w:color w:val="auto"/>
          <w:sz w:val="32"/>
          <w:szCs w:val="32"/>
          <w:lang w:val="en-US" w:eastAsia="zh-CN"/>
        </w:rPr>
        <w:fldChar w:fldCharType="separate"/>
      </w:r>
      <w:r>
        <w:rPr>
          <w:rStyle w:val="13"/>
          <w:rFonts w:hint="eastAsia" w:ascii="仿宋_GB2312" w:hAnsi="宋体" w:eastAsia="仿宋_GB2312" w:cs="Times New Roman"/>
          <w:color w:val="auto"/>
          <w:sz w:val="32"/>
          <w:szCs w:val="32"/>
          <w:lang w:val="en-US" w:eastAsia="zh-CN"/>
        </w:rPr>
        <w:t>报专用邮箱</w:t>
      </w:r>
      <w:r>
        <w:rPr>
          <w:rStyle w:val="13"/>
          <w:rFonts w:hint="eastAsia" w:ascii="仿宋" w:hAnsi="仿宋" w:eastAsia="仿宋"/>
          <w:color w:val="auto"/>
          <w:sz w:val="30"/>
          <w:szCs w:val="30"/>
          <w:lang w:eastAsia="zh-CN"/>
        </w:rPr>
        <w:t>dyzy009@163.com</w:t>
      </w:r>
      <w:r>
        <w:rPr>
          <w:rStyle w:val="13"/>
          <w:rFonts w:hint="eastAsia" w:ascii="仿宋_GB2312" w:hAnsi="宋体" w:eastAsia="仿宋_GB2312" w:cs="Times New Roman"/>
          <w:color w:val="auto"/>
          <w:sz w:val="32"/>
          <w:szCs w:val="32"/>
          <w:lang w:val="en-US" w:eastAsia="zh-CN"/>
        </w:rPr>
        <w:t>；</w:t>
      </w:r>
      <w:r>
        <w:rPr>
          <w:rFonts w:hint="eastAsia" w:ascii="仿宋_GB2312" w:hAnsi="宋体" w:eastAsia="仿宋_GB2312" w:cs="Times New Roman"/>
          <w:color w:val="auto"/>
          <w:sz w:val="32"/>
          <w:szCs w:val="32"/>
          <w:lang w:val="en-US" w:eastAsia="zh-CN"/>
        </w:rPr>
        <w:fldChar w:fldCharType="end"/>
      </w:r>
    </w:p>
    <w:p>
      <w:pPr>
        <w:pStyle w:val="2"/>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3、纸质版投标资料邮寄地址及收件人：</w:t>
      </w:r>
    </w:p>
    <w:p>
      <w:pPr>
        <w:pStyle w:val="2"/>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邮寄地址：山东省泰安市岱岳区大汶口石膏工业园区山东岱岳制盐有限公司新厂，生产管理部；</w:t>
      </w:r>
    </w:p>
    <w:p>
      <w:pPr>
        <w:pStyle w:val="2"/>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收件人：张经理，13705382602。</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（二）逾期送达的投标文件，将予以拒收。</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六、开标时间及地点</w:t>
      </w:r>
    </w:p>
    <w:p>
      <w:pPr>
        <w:ind w:firstLine="640" w:firstLineChars="200"/>
        <w:rPr>
          <w:rFonts w:hint="default"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lang w:val="en-US" w:eastAsia="zh-CN"/>
        </w:rPr>
        <w:t>开标时间：</w:t>
      </w:r>
      <w:r>
        <w:rPr>
          <w:rFonts w:hint="eastAsia" w:ascii="仿宋_GB2312" w:hAnsi="宋体" w:eastAsia="仿宋_GB2312" w:cs="Times New Roman"/>
          <w:sz w:val="32"/>
          <w:szCs w:val="32"/>
          <w:highlight w:val="none"/>
          <w:lang w:val="en-US" w:eastAsia="zh-CN"/>
        </w:rPr>
        <w:t>2023年8月22日下午14:00</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开标地点：技术中心2楼会议室</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 联系方式</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招标单位：山东</w:t>
      </w:r>
      <w:r>
        <w:rPr>
          <w:rFonts w:hint="eastAsia" w:ascii="仿宋_GB2312" w:hAnsi="宋体" w:eastAsia="仿宋_GB2312" w:cs="Times New Roman"/>
          <w:sz w:val="32"/>
          <w:szCs w:val="32"/>
          <w:lang w:eastAsia="zh-CN"/>
        </w:rPr>
        <w:t>岱岳制盐</w:t>
      </w:r>
      <w:r>
        <w:rPr>
          <w:rFonts w:hint="eastAsia" w:ascii="仿宋_GB2312" w:hAnsi="宋体" w:eastAsia="仿宋_GB2312" w:cs="Times New Roman"/>
          <w:sz w:val="32"/>
          <w:szCs w:val="32"/>
        </w:rPr>
        <w:t>有限公司</w:t>
      </w:r>
    </w:p>
    <w:p>
      <w:pPr>
        <w:widowControl/>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地    址：</w:t>
      </w:r>
      <w:r>
        <w:rPr>
          <w:rFonts w:hint="eastAsia" w:ascii="仿宋_GB2312" w:eastAsia="仿宋_GB2312"/>
          <w:sz w:val="30"/>
          <w:szCs w:val="30"/>
        </w:rPr>
        <w:t>泰安市大汶口石膏工业园</w:t>
      </w:r>
      <w:r>
        <w:rPr>
          <w:rFonts w:hint="eastAsia" w:ascii="仿宋_GB2312" w:eastAsia="仿宋_GB2312"/>
          <w:sz w:val="30"/>
          <w:szCs w:val="30"/>
          <w:lang w:eastAsia="zh-CN"/>
        </w:rPr>
        <w:t>区</w:t>
      </w:r>
    </w:p>
    <w:p>
      <w:pPr>
        <w:spacing w:line="360" w:lineRule="auto"/>
        <w:ind w:firstLine="600" w:firstLineChars="200"/>
        <w:rPr>
          <w:rFonts w:hint="eastAsia" w:ascii="仿宋_GB2312" w:eastAsia="仿宋_GB2312"/>
          <w:sz w:val="30"/>
          <w:szCs w:val="30"/>
          <w:lang w:eastAsia="zh-CN"/>
        </w:rPr>
      </w:pPr>
      <w:r>
        <w:rPr>
          <w:rFonts w:hint="eastAsia" w:ascii="仿宋_GB2312" w:eastAsia="仿宋_GB2312"/>
          <w:sz w:val="30"/>
          <w:szCs w:val="30"/>
        </w:rPr>
        <w:t>联</w:t>
      </w:r>
      <w:r>
        <w:rPr>
          <w:rFonts w:ascii="仿宋_GB2312" w:eastAsia="仿宋_GB2312"/>
          <w:sz w:val="30"/>
          <w:szCs w:val="30"/>
        </w:rPr>
        <w:t xml:space="preserve"> </w:t>
      </w:r>
      <w:r>
        <w:rPr>
          <w:rFonts w:hint="eastAsia" w:ascii="仿宋_GB2312" w:eastAsia="仿宋_GB2312"/>
          <w:sz w:val="30"/>
          <w:szCs w:val="30"/>
        </w:rPr>
        <w:t>系</w:t>
      </w:r>
      <w:r>
        <w:rPr>
          <w:rFonts w:ascii="仿宋_GB2312" w:eastAsia="仿宋_GB2312"/>
          <w:sz w:val="30"/>
          <w:szCs w:val="30"/>
        </w:rPr>
        <w:t xml:space="preserve"> </w:t>
      </w:r>
      <w:r>
        <w:rPr>
          <w:rFonts w:hint="eastAsia" w:ascii="仿宋_GB2312" w:eastAsia="仿宋_GB2312"/>
          <w:sz w:val="30"/>
          <w:szCs w:val="30"/>
        </w:rPr>
        <w:t>人：</w:t>
      </w:r>
      <w:r>
        <w:rPr>
          <w:rFonts w:hint="eastAsia" w:ascii="仿宋_GB2312" w:eastAsia="仿宋_GB2312"/>
          <w:sz w:val="30"/>
          <w:szCs w:val="30"/>
          <w:lang w:val="en-US" w:eastAsia="zh-CN"/>
        </w:rPr>
        <w:t xml:space="preserve">赵经理          </w:t>
      </w:r>
      <w:r>
        <w:rPr>
          <w:rFonts w:hint="eastAsia" w:ascii="仿宋_GB2312" w:eastAsia="仿宋_GB2312"/>
          <w:sz w:val="30"/>
          <w:szCs w:val="30"/>
          <w:lang w:eastAsia="zh-CN"/>
        </w:rPr>
        <w:t>张经理</w:t>
      </w:r>
    </w:p>
    <w:p>
      <w:p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rPr>
        <w:t>移动电话：</w:t>
      </w:r>
      <w:r>
        <w:rPr>
          <w:rFonts w:hint="eastAsia" w:ascii="仿宋_GB2312" w:eastAsia="仿宋_GB2312"/>
          <w:sz w:val="30"/>
          <w:szCs w:val="30"/>
          <w:lang w:val="en-US" w:eastAsia="zh-CN"/>
        </w:rPr>
        <w:t>15621530171  13705382602</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电子邮箱：</w:t>
      </w:r>
      <w:r>
        <w:rPr>
          <w:rFonts w:hint="eastAsia" w:ascii="仿宋_GB2312" w:hAnsi="宋体" w:eastAsia="仿宋_GB2312" w:cs="Times New Roman"/>
          <w:sz w:val="32"/>
          <w:szCs w:val="32"/>
          <w:lang w:val="en-US" w:eastAsia="zh-CN"/>
        </w:rPr>
        <w:t>aqscb8160819</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163</w:t>
      </w:r>
      <w:r>
        <w:rPr>
          <w:rFonts w:hint="eastAsia" w:ascii="仿宋_GB2312" w:hAnsi="宋体" w:eastAsia="仿宋_GB2312" w:cs="Times New Roman"/>
          <w:sz w:val="32"/>
          <w:szCs w:val="32"/>
        </w:rPr>
        <w:t xml:space="preserve">.com </w:t>
      </w:r>
    </w:p>
    <w:p>
      <w:pPr>
        <w:ind w:firstLine="640" w:firstLineChars="200"/>
        <w:rPr>
          <w:rFonts w:hint="eastAsia" w:ascii="仿宋_GB2312" w:hAnsi="宋体" w:eastAsia="仿宋_GB2312" w:cs="Times New Roman"/>
          <w:sz w:val="32"/>
          <w:szCs w:val="32"/>
          <w:highlight w:val="yellow"/>
          <w:lang w:eastAsia="zh-CN"/>
        </w:rPr>
      </w:pPr>
      <w:r>
        <w:rPr>
          <w:rFonts w:hint="eastAsia" w:ascii="仿宋_GB2312" w:hAnsi="宋体" w:eastAsia="仿宋_GB2312" w:cs="Times New Roman"/>
          <w:sz w:val="32"/>
          <w:szCs w:val="32"/>
        </w:rPr>
        <w:t>纪检部门联系人：</w:t>
      </w:r>
      <w:r>
        <w:rPr>
          <w:rFonts w:hint="eastAsia" w:ascii="仿宋_GB2312" w:hAnsi="宋体" w:eastAsia="仿宋_GB2312" w:cs="Times New Roman"/>
          <w:sz w:val="32"/>
          <w:szCs w:val="32"/>
          <w:lang w:eastAsia="zh-CN"/>
        </w:rPr>
        <w:t>纪检工作室</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联系电话：053</w:t>
      </w:r>
      <w:r>
        <w:rPr>
          <w:rFonts w:hint="eastAsia" w:ascii="仿宋_GB2312" w:hAnsi="宋体" w:eastAsia="仿宋_GB2312" w:cs="Times New Roman"/>
          <w:sz w:val="32"/>
          <w:szCs w:val="32"/>
          <w:lang w:val="en-US" w:eastAsia="zh-CN"/>
        </w:rPr>
        <w:t>8</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8160666</w:t>
      </w:r>
    </w:p>
    <w:p>
      <w:pPr>
        <w:jc w:val="center"/>
        <w:rPr>
          <w:rFonts w:hint="eastAsia" w:ascii="方正小标宋简体" w:hAnsi="黑体" w:eastAsia="方正小标宋简体" w:cs="Times New Roman"/>
          <w:kern w:val="44"/>
          <w:sz w:val="44"/>
          <w:szCs w:val="44"/>
        </w:rPr>
      </w:pPr>
    </w:p>
    <w:p>
      <w:pPr>
        <w:jc w:val="center"/>
        <w:rPr>
          <w:rFonts w:ascii="方正小标宋简体" w:hAnsi="黑体" w:eastAsia="方正小标宋简体" w:cs="Times New Roman"/>
          <w:kern w:val="44"/>
          <w:sz w:val="44"/>
          <w:szCs w:val="44"/>
        </w:rPr>
      </w:pPr>
      <w:r>
        <w:rPr>
          <w:rFonts w:hint="eastAsia" w:ascii="方正小标宋简体" w:hAnsi="黑体" w:eastAsia="方正小标宋简体" w:cs="Times New Roman"/>
          <w:kern w:val="44"/>
          <w:sz w:val="44"/>
          <w:szCs w:val="44"/>
        </w:rPr>
        <w:t>第二章 投标人须知</w:t>
      </w:r>
    </w:p>
    <w:p>
      <w:pPr>
        <w:spacing w:line="400" w:lineRule="exact"/>
        <w:jc w:val="center"/>
        <w:rPr>
          <w:rFonts w:ascii="方正小标宋简体" w:hAnsi="黑体" w:eastAsia="方正小标宋简体" w:cs="Times New Roman"/>
          <w:kern w:val="44"/>
          <w:sz w:val="44"/>
          <w:szCs w:val="44"/>
        </w:rPr>
      </w:pP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一、要求说明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（一）本招标文件仅适用于本次招标公告中所叙述的项目。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（三）供应商必须未列入失信被执行人名单，如供应商列入失信被执行人名单，将按无效投标处理。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或采购代理机构均有权随时视情形决定是否取消该供应商的此前评议结果，或随时视情形决定是否对该投标予以拒绝，并有权决定采取相应的补救或纠正措施，供应商必须无条件服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（五）供应商在办理与投标项目相关的所有事宜过程中，必须提供授权委托书、授权代表身份证及加盖公章的复印件，否则，有权不予受理。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六）供应商提供的所有资料必须真实、有效。评标工作结束后，招标人有权视情况对投标单位提供资料的真实情况进行再次核查，投标单位必须无条件积极配合，如不配合，则视为存在造假行为。如投标单位存在造假行为，甲方有权追究该投标单位的经济责任，甲方有权将该投标单位列入不良行为记录名单，并按《中华人民共和国政府采购法》、《中华人民共和国招标投标法》等相关法律规定处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七）对于投标单位不配合评标委员会要求提供相关证明、澄清，或者有企图影响招标结果等行为，或者存在采购人认定的其他恶意行为，甲方有权追究该投标单位的经济责任，甲方有权将该投标单位列入不良行为记录名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（八）其</w:t>
      </w:r>
      <w:r>
        <w:rPr>
          <w:rFonts w:hint="eastAsia" w:ascii="仿宋_GB2312" w:hAnsi="黑体" w:eastAsia="仿宋_GB2312" w:cs="Times New Roman"/>
          <w:kern w:val="44"/>
          <w:sz w:val="32"/>
          <w:szCs w:val="44"/>
          <w:lang w:eastAsia="zh-CN"/>
        </w:rPr>
        <w:t>它</w:t>
      </w:r>
      <w:r>
        <w:rPr>
          <w:rFonts w:hint="eastAsia" w:ascii="仿宋_GB2312" w:hAnsi="黑体" w:eastAsia="仿宋_GB2312" w:cs="Times New Roman"/>
          <w:kern w:val="44"/>
          <w:sz w:val="32"/>
          <w:szCs w:val="44"/>
        </w:rPr>
        <w:t>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1、供应商应对其提供的所有货物和服务（包括货物和服务的所有内容），保证甲方免受任何第三方主张任何权利。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2、如第三人对合同标的物（货物和服务）主张权利的侵权损害赔偿请求，甲方有权解除合同且不承担任何赔偿责任，并追究供应商的违约责任。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3、在合同履行过程中，甲方有确切证据证明第三方可能就合同标的物（货物和服务）主张权利的，甲方有权中止支付相应的价款，并追究供应商的违约责任。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4、因为第三方对甲方主张权利而发生的纠纷，供应商应承担相应的法律责任和诉讼费用、律师费用、其他为解除纠纷而发生的费用以及由此给甲方造成的所有经济损失。</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5、以上所指权利包括但不仅限于供应商所提供货物和服务的所有权、知识产权、债权、担保物权、用益物权等权利。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6、质疑处理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（1）供应商的姓名或者名称、地址、邮编、联系人及联系电话；</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（2）质疑项目的名称、编号；</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（3）具体、明确的质疑事项和与质疑事项相关的请求；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（4）事实依据；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（5）必要的法律依据；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（6）提出质疑的日期。</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作出答复，并以书面形式通知质疑供应商和其他有关供应商。接受质疑函联系人、电话及地址详见招标公告。</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二、虚假材料说明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供应商必须对其投标文件中提供各种资料、说明的真实性负责。在评标过程中，如果发现供应商有为谋取中标而提供虚假资料欺骗采购人和评委的行为，将取消其中标资格，</w:t>
      </w:r>
      <w:r>
        <w:rPr>
          <w:rFonts w:hint="eastAsia" w:ascii="仿宋_GB2312" w:hAnsi="黑体" w:eastAsia="仿宋_GB2312" w:cs="Times New Roman"/>
          <w:kern w:val="44"/>
          <w:sz w:val="32"/>
          <w:szCs w:val="44"/>
          <w:lang w:eastAsia="zh-CN"/>
        </w:rPr>
        <w:t>如有则</w:t>
      </w:r>
      <w:r>
        <w:rPr>
          <w:rFonts w:hint="eastAsia" w:ascii="仿宋_GB2312" w:hAnsi="黑体" w:eastAsia="仿宋_GB2312" w:cs="Times New Roman"/>
          <w:kern w:val="44"/>
          <w:sz w:val="32"/>
          <w:szCs w:val="44"/>
        </w:rPr>
        <w:t>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pPr>
        <w:ind w:firstLine="640" w:firstLineChars="200"/>
        <w:jc w:val="left"/>
        <w:rPr>
          <w:rFonts w:ascii="黑体" w:hAnsi="黑体" w:eastAsia="黑体" w:cs="Times New Roman"/>
          <w:kern w:val="44"/>
          <w:sz w:val="32"/>
          <w:szCs w:val="44"/>
        </w:rPr>
      </w:pPr>
      <w:r>
        <w:rPr>
          <w:rFonts w:hint="eastAsia" w:ascii="黑体" w:hAnsi="黑体" w:eastAsia="黑体" w:cs="Times New Roman"/>
          <w:kern w:val="44"/>
          <w:sz w:val="32"/>
          <w:szCs w:val="44"/>
        </w:rPr>
        <w:t>三、定义</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（一）“采购人”系指：山东</w:t>
      </w:r>
      <w:r>
        <w:rPr>
          <w:rFonts w:hint="eastAsia" w:ascii="仿宋_GB2312" w:hAnsi="黑体" w:eastAsia="仿宋_GB2312" w:cs="Times New Roman"/>
          <w:kern w:val="44"/>
          <w:sz w:val="32"/>
          <w:szCs w:val="44"/>
          <w:lang w:eastAsia="zh-CN"/>
        </w:rPr>
        <w:t>岱岳制盐</w:t>
      </w:r>
      <w:r>
        <w:rPr>
          <w:rFonts w:hint="eastAsia" w:ascii="仿宋_GB2312" w:hAnsi="黑体" w:eastAsia="仿宋_GB2312" w:cs="Times New Roman"/>
          <w:kern w:val="44"/>
          <w:sz w:val="32"/>
          <w:szCs w:val="44"/>
        </w:rPr>
        <w:t>有限公司。</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（二）“供应商”系指：向采购人获取招标文件并提交投标文件的企业。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（三）“中标人”系指：由评标委员会对供应商综合评审后，评选出的对招标文件做出实质性响应、综合竞争实力最优、报价合理、有能力为采购人提供货物和服务，遵守投标文件的承诺，赢得供货</w:t>
      </w:r>
      <w:r>
        <w:rPr>
          <w:rFonts w:hint="eastAsia" w:ascii="仿宋_GB2312" w:hAnsi="黑体" w:eastAsia="仿宋_GB2312" w:cs="Times New Roman"/>
          <w:kern w:val="44"/>
          <w:sz w:val="32"/>
          <w:szCs w:val="44"/>
          <w:lang w:eastAsia="zh-CN"/>
        </w:rPr>
        <w:t>（服务）</w:t>
      </w:r>
      <w:r>
        <w:rPr>
          <w:rFonts w:hint="eastAsia" w:ascii="仿宋_GB2312" w:hAnsi="黑体" w:eastAsia="仿宋_GB2312" w:cs="Times New Roman"/>
          <w:kern w:val="44"/>
          <w:sz w:val="32"/>
          <w:szCs w:val="44"/>
        </w:rPr>
        <w:t>合同的供应商。</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四、招标文件说明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（一）招标文件的组成</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1、招标公告</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2、投标人须知</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3、评标办法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（二）招标文件的修改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采购人对招标文件必须修改的内容，须在招标文件要求提交投标文件截止时间2日前，招标文件的澄清或变更将</w:t>
      </w:r>
      <w:r>
        <w:rPr>
          <w:rFonts w:hint="eastAsia" w:ascii="仿宋_GB2312" w:hAnsi="黑体" w:eastAsia="仿宋_GB2312" w:cs="Times New Roman"/>
          <w:kern w:val="44"/>
          <w:sz w:val="32"/>
          <w:szCs w:val="44"/>
          <w:lang w:eastAsia="zh-CN"/>
        </w:rPr>
        <w:t>隆道云</w:t>
      </w:r>
      <w:r>
        <w:rPr>
          <w:rFonts w:hint="eastAsia" w:ascii="仿宋_GB2312" w:hAnsi="黑体" w:eastAsia="仿宋_GB2312" w:cs="Times New Roman"/>
          <w:kern w:val="44"/>
          <w:sz w:val="32"/>
          <w:szCs w:val="44"/>
        </w:rPr>
        <w:t>招标采购平台发布，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pPr>
        <w:ind w:firstLine="640" w:firstLineChars="200"/>
        <w:rPr>
          <w:rFonts w:ascii="黑体" w:hAnsi="黑体" w:eastAsia="黑体" w:cs="Times New Roman"/>
          <w:kern w:val="44"/>
          <w:sz w:val="32"/>
          <w:szCs w:val="44"/>
          <w:u w:val="double"/>
        </w:rPr>
      </w:pPr>
      <w:r>
        <w:rPr>
          <w:rFonts w:hint="eastAsia" w:ascii="黑体" w:hAnsi="黑体" w:eastAsia="黑体" w:cs="Times New Roman"/>
          <w:kern w:val="44"/>
          <w:sz w:val="32"/>
          <w:szCs w:val="44"/>
          <w:u w:val="double"/>
        </w:rPr>
        <w:t>五、投标文件的编写</w:t>
      </w:r>
    </w:p>
    <w:p>
      <w:pPr>
        <w:ind w:firstLine="640" w:firstLineChars="200"/>
        <w:rPr>
          <w:rFonts w:ascii="仿宋_GB2312" w:hAnsi="黑体" w:eastAsia="仿宋_GB2312" w:cs="Times New Roman"/>
          <w:kern w:val="44"/>
          <w:sz w:val="32"/>
          <w:szCs w:val="44"/>
          <w:u w:val="double"/>
        </w:rPr>
      </w:pPr>
      <w:r>
        <w:rPr>
          <w:rFonts w:hint="eastAsia" w:ascii="仿宋_GB2312" w:hAnsi="黑体" w:eastAsia="仿宋_GB2312" w:cs="Times New Roman"/>
          <w:kern w:val="44"/>
          <w:sz w:val="32"/>
          <w:szCs w:val="44"/>
          <w:u w:val="double"/>
        </w:rPr>
        <w:t>供应商应仔细阅读招标文件的所有内容，按招标文件的要求提供投标文件，并保证所提供的全部资料的真实性、准确性及完整性，以使其投标对招标文件做出实质性响应。否则，其投标有可能被拒绝。</w:t>
      </w:r>
    </w:p>
    <w:p>
      <w:pPr>
        <w:ind w:firstLine="640" w:firstLineChars="200"/>
        <w:rPr>
          <w:rFonts w:hint="eastAsia" w:ascii="仿宋_GB2312" w:hAnsi="黑体" w:eastAsia="仿宋_GB2312" w:cs="Times New Roman"/>
          <w:kern w:val="44"/>
          <w:sz w:val="32"/>
          <w:szCs w:val="44"/>
          <w:u w:val="none"/>
          <w:lang w:val="zh-CN" w:eastAsia="zh-CN"/>
        </w:rPr>
      </w:pPr>
      <w:bookmarkStart w:id="0" w:name="_Toc5285"/>
      <w:r>
        <w:rPr>
          <w:rFonts w:hint="eastAsia" w:ascii="仿宋_GB2312" w:hAnsi="黑体" w:eastAsia="仿宋_GB2312" w:cs="Times New Roman"/>
          <w:kern w:val="44"/>
          <w:sz w:val="32"/>
          <w:szCs w:val="44"/>
          <w:u w:val="none"/>
          <w:lang w:val="en-US" w:eastAsia="zh-CN"/>
        </w:rPr>
        <w:t>（一）</w:t>
      </w:r>
      <w:r>
        <w:rPr>
          <w:rFonts w:hint="eastAsia" w:ascii="仿宋_GB2312" w:hAnsi="黑体" w:eastAsia="仿宋_GB2312" w:cs="Times New Roman"/>
          <w:kern w:val="44"/>
          <w:sz w:val="32"/>
          <w:szCs w:val="44"/>
          <w:u w:val="none"/>
          <w:lang w:val="zh-CN" w:eastAsia="zh-CN"/>
        </w:rPr>
        <w:t>报价文件的组成</w:t>
      </w:r>
      <w:bookmarkEnd w:id="0"/>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1.1 报价文件包含资格证明文件、技术部分和商务部分。</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1.2 报价文件至少应包括下列内容：</w:t>
      </w:r>
    </w:p>
    <w:p>
      <w:pPr>
        <w:ind w:firstLine="640" w:firstLineChars="200"/>
        <w:rPr>
          <w:rFonts w:hint="eastAsia" w:ascii="仿宋_GB2312" w:hAnsi="黑体" w:eastAsia="仿宋_GB2312" w:cs="Times New Roman"/>
          <w:kern w:val="44"/>
          <w:sz w:val="32"/>
          <w:szCs w:val="44"/>
          <w:u w:val="double"/>
          <w:lang w:val="zh-CN" w:eastAsia="zh-CN"/>
        </w:rPr>
      </w:pPr>
      <w:bookmarkStart w:id="1" w:name="_Toc27562"/>
      <w:bookmarkStart w:id="2" w:name="_Toc3112"/>
      <w:r>
        <w:rPr>
          <w:rFonts w:hint="eastAsia" w:ascii="仿宋_GB2312" w:hAnsi="黑体" w:eastAsia="仿宋_GB2312" w:cs="Times New Roman"/>
          <w:kern w:val="44"/>
          <w:sz w:val="32"/>
          <w:szCs w:val="44"/>
          <w:u w:val="double"/>
          <w:lang w:val="zh-CN" w:eastAsia="zh-CN"/>
        </w:rPr>
        <w:t>1.2.1资格证明文件</w:t>
      </w:r>
      <w:bookmarkEnd w:id="1"/>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（1）供应商简况表；</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（2）营业执照副本复印件（加盖公章）；</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（3）</w:t>
      </w:r>
      <w:r>
        <w:rPr>
          <w:rFonts w:hint="eastAsia" w:ascii="仿宋_GB2312" w:hAnsi="黑体" w:eastAsia="仿宋_GB2312" w:cs="Times New Roman"/>
          <w:kern w:val="44"/>
          <w:sz w:val="32"/>
          <w:szCs w:val="44"/>
          <w:u w:val="double"/>
          <w:lang w:val="en-US" w:eastAsia="zh-CN"/>
        </w:rPr>
        <w:t>有效的资质证书</w:t>
      </w:r>
      <w:r>
        <w:rPr>
          <w:rFonts w:hint="eastAsia" w:ascii="仿宋_GB2312" w:hAnsi="黑体" w:eastAsia="仿宋_GB2312" w:cs="Times New Roman"/>
          <w:kern w:val="44"/>
          <w:sz w:val="32"/>
          <w:szCs w:val="44"/>
          <w:u w:val="double"/>
          <w:lang w:val="zh-CN" w:eastAsia="zh-CN"/>
        </w:rPr>
        <w:t>（复印件加盖公章）；</w:t>
      </w:r>
    </w:p>
    <w:p>
      <w:pPr>
        <w:ind w:firstLine="640" w:firstLineChars="200"/>
        <w:rPr>
          <w:rFonts w:hint="eastAsia" w:ascii="仿宋_GB2312" w:hAnsi="黑体" w:eastAsia="仿宋_GB2312" w:cs="Times New Roman"/>
          <w:kern w:val="44"/>
          <w:sz w:val="32"/>
          <w:szCs w:val="44"/>
          <w:u w:val="double"/>
          <w:lang w:val="en-US" w:eastAsia="zh-CN"/>
        </w:rPr>
      </w:pPr>
      <w:r>
        <w:rPr>
          <w:rFonts w:hint="eastAsia" w:ascii="仿宋_GB2312" w:hAnsi="黑体" w:eastAsia="仿宋_GB2312" w:cs="Times New Roman"/>
          <w:kern w:val="44"/>
          <w:sz w:val="32"/>
          <w:szCs w:val="44"/>
          <w:u w:val="double"/>
          <w:lang w:val="zh-CN" w:eastAsia="zh-CN"/>
        </w:rPr>
        <w:t>（</w:t>
      </w:r>
      <w:r>
        <w:rPr>
          <w:rFonts w:hint="eastAsia" w:ascii="仿宋_GB2312" w:hAnsi="黑体" w:eastAsia="仿宋_GB2312" w:cs="Times New Roman"/>
          <w:kern w:val="44"/>
          <w:sz w:val="32"/>
          <w:szCs w:val="44"/>
          <w:u w:val="double"/>
          <w:lang w:val="en-US" w:eastAsia="zh-CN"/>
        </w:rPr>
        <w:t>4</w:t>
      </w:r>
      <w:r>
        <w:rPr>
          <w:rFonts w:hint="eastAsia" w:ascii="仿宋_GB2312" w:hAnsi="黑体" w:eastAsia="仿宋_GB2312" w:cs="Times New Roman"/>
          <w:kern w:val="44"/>
          <w:sz w:val="32"/>
          <w:szCs w:val="44"/>
          <w:u w:val="double"/>
          <w:lang w:val="zh-CN" w:eastAsia="zh-CN"/>
        </w:rPr>
        <w:t>）</w:t>
      </w:r>
      <w:r>
        <w:rPr>
          <w:rFonts w:hint="eastAsia" w:ascii="仿宋_GB2312" w:hAnsi="黑体" w:eastAsia="仿宋_GB2312" w:cs="Times New Roman"/>
          <w:kern w:val="44"/>
          <w:sz w:val="32"/>
          <w:szCs w:val="44"/>
          <w:u w:val="double"/>
          <w:lang w:val="en-US" w:eastAsia="zh-CN"/>
        </w:rPr>
        <w:t>近2年以来的类似工程业绩合同（时间以合同签订时间为准）；</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en-US" w:eastAsia="zh-CN"/>
        </w:rPr>
        <w:t>（5）</w:t>
      </w:r>
      <w:r>
        <w:rPr>
          <w:rFonts w:hint="eastAsia" w:ascii="仿宋_GB2312" w:hAnsi="黑体" w:eastAsia="仿宋_GB2312" w:cs="Times New Roman"/>
          <w:kern w:val="44"/>
          <w:sz w:val="32"/>
          <w:szCs w:val="44"/>
          <w:u w:val="double"/>
          <w:lang w:val="zh-CN" w:eastAsia="zh-CN"/>
        </w:rPr>
        <w:t>法人代表人授权委托书；</w:t>
      </w:r>
    </w:p>
    <w:p>
      <w:pPr>
        <w:pStyle w:val="2"/>
        <w:rPr>
          <w:rFonts w:hint="default"/>
          <w:lang w:val="en-US" w:eastAsia="zh-CN"/>
        </w:rPr>
      </w:pPr>
      <w:r>
        <w:rPr>
          <w:rFonts w:hint="eastAsia" w:ascii="仿宋_GB2312" w:hAnsi="黑体" w:eastAsia="仿宋_GB2312" w:cs="Times New Roman"/>
          <w:kern w:val="44"/>
          <w:sz w:val="32"/>
          <w:szCs w:val="44"/>
          <w:u w:val="double"/>
          <w:lang w:val="en-US" w:eastAsia="zh-CN"/>
        </w:rPr>
        <w:t>（6）</w:t>
      </w:r>
      <w:r>
        <w:rPr>
          <w:rFonts w:hint="eastAsia" w:ascii="仿宋_GB2312" w:hAnsi="黑体" w:eastAsia="仿宋_GB2312" w:cs="Times New Roman"/>
          <w:kern w:val="44"/>
          <w:sz w:val="32"/>
          <w:szCs w:val="44"/>
          <w:u w:val="double"/>
          <w:lang w:val="zh-CN" w:eastAsia="zh-CN"/>
        </w:rPr>
        <w:t>有效的安全生产许可证；</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1.2.2商务部分</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（1）法定代表人或授权代理人签署的投标函；</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（2）报价单（必须加盖公章，否则报价无效）；</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w:t>
      </w:r>
      <w:r>
        <w:rPr>
          <w:rFonts w:hint="eastAsia" w:ascii="仿宋_GB2312" w:hAnsi="黑体" w:eastAsia="仿宋_GB2312" w:cs="Times New Roman"/>
          <w:kern w:val="44"/>
          <w:sz w:val="32"/>
          <w:szCs w:val="44"/>
          <w:u w:val="double"/>
          <w:lang w:val="en-US" w:eastAsia="zh-CN"/>
        </w:rPr>
        <w:t>3</w:t>
      </w:r>
      <w:r>
        <w:rPr>
          <w:rFonts w:hint="eastAsia" w:ascii="仿宋_GB2312" w:hAnsi="黑体" w:eastAsia="仿宋_GB2312" w:cs="Times New Roman"/>
          <w:kern w:val="44"/>
          <w:sz w:val="32"/>
          <w:szCs w:val="44"/>
          <w:u w:val="doubl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1.2.3技术部分</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（1）施工方案：包括但不限于施工组织方案、劳动力、机械设备和材料投入计划等。</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 xml:space="preserve">（2）安全、环保施工方案：包括但不限于任何可能的紧急情况的处理措施、预案以及抵抗风险（包括工程施工过程中可能遇到的各种风险）的措施、现场环境保护措施、扬尘治理措施、喷漆废气污染处理措施等； </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（3）施工总进度计划及保证措施：包括以横道图、保障进度计划需要的主要施工机械设备、劳动力需求计划及保证措施、材料设备进场计划及其他保证措施等；</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w:t>
      </w:r>
      <w:r>
        <w:rPr>
          <w:rFonts w:hint="eastAsia" w:ascii="仿宋_GB2312" w:hAnsi="黑体" w:eastAsia="仿宋_GB2312" w:cs="Times New Roman"/>
          <w:kern w:val="44"/>
          <w:sz w:val="32"/>
          <w:szCs w:val="44"/>
          <w:u w:val="double"/>
          <w:lang w:val="en-US" w:eastAsia="zh-CN"/>
        </w:rPr>
        <w:t>4</w:t>
      </w:r>
      <w:r>
        <w:rPr>
          <w:rFonts w:hint="eastAsia" w:ascii="仿宋_GB2312" w:hAnsi="黑体" w:eastAsia="仿宋_GB2312" w:cs="Times New Roman"/>
          <w:kern w:val="44"/>
          <w:sz w:val="32"/>
          <w:szCs w:val="44"/>
          <w:u w:val="double"/>
          <w:lang w:val="zh-CN" w:eastAsia="zh-CN"/>
        </w:rPr>
        <w:t>）评标委员会将根据提供的上述方案进行评比打分；</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w:t>
      </w:r>
      <w:r>
        <w:rPr>
          <w:rFonts w:hint="eastAsia" w:ascii="仿宋_GB2312" w:hAnsi="黑体" w:eastAsia="仿宋_GB2312" w:cs="Times New Roman"/>
          <w:kern w:val="44"/>
          <w:sz w:val="32"/>
          <w:szCs w:val="44"/>
          <w:u w:val="double"/>
          <w:lang w:val="en-US" w:eastAsia="zh-CN"/>
        </w:rPr>
        <w:t>5</w:t>
      </w:r>
      <w:r>
        <w:rPr>
          <w:rFonts w:hint="eastAsia" w:ascii="仿宋_GB2312" w:hAnsi="黑体" w:eastAsia="仿宋_GB2312" w:cs="Times New Roman"/>
          <w:kern w:val="44"/>
          <w:sz w:val="32"/>
          <w:szCs w:val="44"/>
          <w:u w:val="doubl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备注：格式自拟，请供应商按照相关要求自行编制；</w:t>
      </w:r>
    </w:p>
    <w:bookmarkEnd w:id="2"/>
    <w:p>
      <w:pPr>
        <w:ind w:firstLine="640" w:firstLineChars="200"/>
        <w:rPr>
          <w:rFonts w:hint="default" w:ascii="仿宋_GB2312" w:hAnsi="黑体" w:eastAsia="仿宋_GB2312" w:cs="Times New Roman"/>
          <w:kern w:val="44"/>
          <w:sz w:val="32"/>
          <w:szCs w:val="44"/>
          <w:u w:val="double"/>
          <w:lang w:val="en-US" w:eastAsia="zh-CN"/>
        </w:rPr>
      </w:pPr>
      <w:r>
        <w:rPr>
          <w:rFonts w:hint="eastAsia" w:ascii="仿宋_GB2312" w:hAnsi="黑体" w:eastAsia="仿宋_GB2312" w:cs="Times New Roman"/>
          <w:kern w:val="44"/>
          <w:sz w:val="32"/>
          <w:szCs w:val="44"/>
          <w:u w:val="double"/>
          <w:lang w:val="zh-CN" w:eastAsia="zh-CN"/>
        </w:rPr>
        <w:t>1.3 报价文件的内容必须属实，任何虚假和不实的行为都会被认为是对</w:t>
      </w:r>
      <w:r>
        <w:rPr>
          <w:rFonts w:hint="eastAsia" w:ascii="仿宋_GB2312" w:hAnsi="黑体" w:eastAsia="仿宋_GB2312" w:cs="Times New Roman"/>
          <w:kern w:val="44"/>
          <w:sz w:val="32"/>
          <w:szCs w:val="44"/>
          <w:u w:val="double"/>
          <w:lang w:val="en-US" w:eastAsia="zh-CN"/>
        </w:rPr>
        <w:t>报价</w:t>
      </w:r>
      <w:r>
        <w:rPr>
          <w:rFonts w:hint="eastAsia" w:ascii="仿宋_GB2312" w:hAnsi="黑体" w:eastAsia="仿宋_GB2312" w:cs="Times New Roman"/>
          <w:kern w:val="44"/>
          <w:sz w:val="32"/>
          <w:szCs w:val="44"/>
          <w:u w:val="double"/>
          <w:lang w:val="zh-CN" w:eastAsia="zh-CN"/>
        </w:rPr>
        <w:t>文件的不响应。</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二</w:t>
      </w:r>
      <w:r>
        <w:rPr>
          <w:rFonts w:hint="eastAsia" w:ascii="仿宋_GB2312" w:hAnsi="黑体" w:eastAsia="仿宋_GB2312" w:cs="Times New Roman"/>
          <w:kern w:val="44"/>
          <w:sz w:val="32"/>
          <w:szCs w:val="44"/>
        </w:rPr>
        <w:t>）投标文件的版式</w:t>
      </w:r>
    </w:p>
    <w:p>
      <w:pPr>
        <w:ind w:firstLine="640" w:firstLineChars="200"/>
        <w:rPr>
          <w:rFonts w:ascii="仿宋_GB2312" w:hAnsi="黑体" w:eastAsia="仿宋_GB2312" w:cs="Times New Roman"/>
          <w:kern w:val="44"/>
          <w:sz w:val="32"/>
          <w:szCs w:val="44"/>
          <w:u w:val="double"/>
        </w:rPr>
      </w:pPr>
      <w:r>
        <w:rPr>
          <w:rFonts w:hint="eastAsia" w:ascii="仿宋_GB2312" w:hAnsi="黑体" w:eastAsia="仿宋_GB2312" w:cs="Times New Roman"/>
          <w:kern w:val="44"/>
          <w:sz w:val="32"/>
          <w:szCs w:val="44"/>
          <w:u w:val="double"/>
        </w:rPr>
        <w:t>供应商必须将投标文件按顺序合并于一个PDF文件或word文件中，编制目录索引，并插入页码，封皮需法人签字并盖章。</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三</w:t>
      </w:r>
      <w:r>
        <w:rPr>
          <w:rFonts w:hint="eastAsia" w:ascii="仿宋_GB2312" w:hAnsi="黑体" w:eastAsia="仿宋_GB2312" w:cs="Times New Roman"/>
          <w:kern w:val="44"/>
          <w:sz w:val="32"/>
          <w:szCs w:val="44"/>
        </w:rPr>
        <w:t>）投标文件的递交</w:t>
      </w:r>
    </w:p>
    <w:p>
      <w:pPr>
        <w:ind w:firstLine="640" w:firstLineChars="200"/>
        <w:rPr>
          <w:rFonts w:hint="eastAsia" w:ascii="仿宋_GB2312" w:hAnsi="黑体" w:eastAsia="仿宋_GB2312" w:cs="Times New Roman"/>
          <w:kern w:val="44"/>
          <w:sz w:val="32"/>
          <w:szCs w:val="44"/>
          <w:u w:val="double"/>
        </w:rPr>
      </w:pPr>
      <w:r>
        <w:rPr>
          <w:rFonts w:hint="eastAsia" w:ascii="仿宋_GB2312" w:hAnsi="黑体" w:eastAsia="仿宋_GB2312" w:cs="Times New Roman"/>
          <w:kern w:val="44"/>
          <w:sz w:val="32"/>
          <w:szCs w:val="44"/>
          <w:u w:val="double"/>
        </w:rPr>
        <w:t>1、递交投标文件的方式和时间</w:t>
      </w:r>
    </w:p>
    <w:p>
      <w:pPr>
        <w:ind w:firstLine="640" w:firstLineChars="200"/>
        <w:rPr>
          <w:rFonts w:hint="eastAsia" w:ascii="仿宋_GB2312" w:hAnsi="黑体" w:eastAsia="仿宋_GB2312" w:cs="Times New Roman"/>
          <w:kern w:val="44"/>
          <w:sz w:val="32"/>
          <w:szCs w:val="44"/>
          <w:u w:val="double"/>
        </w:rPr>
      </w:pPr>
      <w:r>
        <w:rPr>
          <w:rFonts w:hint="eastAsia" w:ascii="仿宋_GB2312" w:hAnsi="黑体" w:eastAsia="仿宋_GB2312" w:cs="Times New Roman"/>
          <w:kern w:val="44"/>
          <w:sz w:val="32"/>
          <w:szCs w:val="44"/>
          <w:u w:val="double"/>
          <w:lang w:val="en-US" w:eastAsia="zh-CN"/>
        </w:rPr>
        <w:t xml:space="preserve">1.1 </w:t>
      </w:r>
      <w:r>
        <w:rPr>
          <w:rFonts w:hint="eastAsia" w:ascii="仿宋_GB2312" w:hAnsi="黑体" w:eastAsia="仿宋_GB2312" w:cs="Times New Roman"/>
          <w:kern w:val="44"/>
          <w:sz w:val="32"/>
          <w:szCs w:val="44"/>
          <w:u w:val="double"/>
        </w:rPr>
        <w:t>方式：</w:t>
      </w:r>
    </w:p>
    <w:p>
      <w:pPr>
        <w:ind w:firstLine="640" w:firstLineChars="200"/>
        <w:rPr>
          <w:rFonts w:hint="eastAsia" w:ascii="仿宋_GB2312" w:hAnsi="黑体" w:eastAsia="仿宋_GB2312" w:cs="Times New Roman"/>
          <w:kern w:val="44"/>
          <w:sz w:val="32"/>
          <w:szCs w:val="44"/>
          <w:u w:val="double"/>
          <w:lang w:eastAsia="zh-CN"/>
        </w:rPr>
      </w:pPr>
      <w:r>
        <w:rPr>
          <w:rFonts w:hint="eastAsia" w:ascii="仿宋_GB2312" w:hAnsi="黑体" w:eastAsia="仿宋_GB2312" w:cs="Times New Roman"/>
          <w:kern w:val="44"/>
          <w:sz w:val="32"/>
          <w:szCs w:val="44"/>
          <w:u w:val="double"/>
        </w:rPr>
        <w:t>线上</w:t>
      </w:r>
      <w:r>
        <w:rPr>
          <w:rFonts w:hint="eastAsia" w:ascii="仿宋_GB2312" w:hAnsi="黑体" w:eastAsia="仿宋_GB2312" w:cs="Times New Roman"/>
          <w:kern w:val="44"/>
          <w:sz w:val="32"/>
          <w:szCs w:val="44"/>
          <w:u w:val="double"/>
          <w:lang w:eastAsia="zh-CN"/>
        </w:rPr>
        <w:t>：登录山东岱岳制盐有限公司官网（</w:t>
      </w:r>
      <w:r>
        <w:rPr>
          <w:rFonts w:hint="eastAsia" w:ascii="仿宋_GB2312" w:hAnsi="黑体" w:eastAsia="仿宋_GB2312" w:cs="Times New Roman"/>
          <w:kern w:val="44"/>
          <w:sz w:val="32"/>
          <w:szCs w:val="44"/>
          <w:u w:val="double"/>
          <w:lang w:val="en-US" w:eastAsia="zh-CN"/>
        </w:rPr>
        <w:t>www.sddyzy.com</w:t>
      </w:r>
      <w:r>
        <w:rPr>
          <w:rFonts w:hint="eastAsia" w:ascii="仿宋_GB2312" w:hAnsi="黑体" w:eastAsia="仿宋_GB2312" w:cs="Times New Roman"/>
          <w:kern w:val="44"/>
          <w:sz w:val="32"/>
          <w:szCs w:val="44"/>
          <w:u w:val="double"/>
          <w:lang w:eastAsia="zh-CN"/>
        </w:rPr>
        <w:t>）查看招标文件</w:t>
      </w:r>
      <w:r>
        <w:rPr>
          <w:rFonts w:hint="eastAsia" w:ascii="仿宋_GB2312" w:hAnsi="黑体" w:eastAsia="仿宋_GB2312" w:cs="Times New Roman"/>
          <w:kern w:val="44"/>
          <w:sz w:val="32"/>
          <w:szCs w:val="44"/>
          <w:u w:val="double"/>
        </w:rPr>
        <w:t>；</w:t>
      </w:r>
    </w:p>
    <w:p>
      <w:pPr>
        <w:ind w:firstLine="640" w:firstLineChars="200"/>
        <w:rPr>
          <w:rFonts w:hint="eastAsia" w:ascii="仿宋_GB2312" w:hAnsi="黑体" w:eastAsia="仿宋_GB2312" w:cs="Times New Roman"/>
          <w:kern w:val="44"/>
          <w:sz w:val="32"/>
          <w:szCs w:val="44"/>
          <w:u w:val="double"/>
          <w:lang w:eastAsia="zh-CN"/>
        </w:rPr>
      </w:pPr>
      <w:r>
        <w:rPr>
          <w:rFonts w:hint="eastAsia" w:ascii="仿宋_GB2312" w:hAnsi="黑体" w:eastAsia="仿宋_GB2312" w:cs="Times New Roman"/>
          <w:kern w:val="44"/>
          <w:sz w:val="32"/>
          <w:szCs w:val="44"/>
          <w:u w:val="double"/>
          <w:lang w:eastAsia="zh-CN"/>
        </w:rPr>
        <w:t>线下：报专用邮箱：</w:t>
      </w:r>
      <w:r>
        <w:rPr>
          <w:rFonts w:hint="eastAsia" w:ascii="仿宋_GB2312" w:hAnsi="黑体" w:eastAsia="仿宋_GB2312" w:cs="Times New Roman"/>
          <w:kern w:val="44"/>
          <w:sz w:val="32"/>
          <w:szCs w:val="44"/>
          <w:u w:val="double"/>
          <w:lang w:eastAsia="zh-CN"/>
        </w:rPr>
        <w:fldChar w:fldCharType="begin"/>
      </w:r>
      <w:r>
        <w:rPr>
          <w:rFonts w:hint="eastAsia" w:ascii="仿宋_GB2312" w:hAnsi="黑体" w:eastAsia="仿宋_GB2312" w:cs="Times New Roman"/>
          <w:kern w:val="44"/>
          <w:sz w:val="32"/>
          <w:szCs w:val="44"/>
          <w:u w:val="double"/>
          <w:lang w:eastAsia="zh-CN"/>
        </w:rPr>
        <w:instrText xml:space="preserve"> HYPERLINK "mailto:dyzy009@163.com" </w:instrText>
      </w:r>
      <w:r>
        <w:rPr>
          <w:rFonts w:hint="eastAsia" w:ascii="仿宋_GB2312" w:hAnsi="黑体" w:eastAsia="仿宋_GB2312" w:cs="Times New Roman"/>
          <w:kern w:val="44"/>
          <w:sz w:val="32"/>
          <w:szCs w:val="44"/>
          <w:u w:val="double"/>
          <w:lang w:eastAsia="zh-CN"/>
        </w:rPr>
        <w:fldChar w:fldCharType="separate"/>
      </w:r>
      <w:r>
        <w:rPr>
          <w:rFonts w:hint="eastAsia" w:ascii="仿宋_GB2312" w:hAnsi="黑体" w:eastAsia="仿宋_GB2312" w:cs="Times New Roman"/>
          <w:kern w:val="44"/>
          <w:sz w:val="32"/>
          <w:szCs w:val="44"/>
          <w:u w:val="double"/>
          <w:lang w:eastAsia="zh-CN"/>
        </w:rPr>
        <w:t>dyzy009@163.com</w:t>
      </w:r>
      <w:r>
        <w:rPr>
          <w:rFonts w:hint="eastAsia" w:ascii="仿宋_GB2312" w:hAnsi="黑体" w:eastAsia="仿宋_GB2312" w:cs="Times New Roman"/>
          <w:kern w:val="44"/>
          <w:sz w:val="32"/>
          <w:szCs w:val="44"/>
          <w:u w:val="double"/>
          <w:lang w:eastAsia="zh-CN"/>
        </w:rPr>
        <w:fldChar w:fldCharType="end"/>
      </w:r>
      <w:r>
        <w:rPr>
          <w:rFonts w:hint="eastAsia" w:ascii="仿宋_GB2312" w:hAnsi="黑体" w:eastAsia="仿宋_GB2312" w:cs="Times New Roman"/>
          <w:kern w:val="44"/>
          <w:sz w:val="32"/>
          <w:szCs w:val="44"/>
          <w:u w:val="double"/>
          <w:lang w:eastAsia="zh-CN"/>
        </w:rPr>
        <w:t>；</w:t>
      </w:r>
    </w:p>
    <w:p>
      <w:pPr>
        <w:ind w:firstLine="640" w:firstLineChars="200"/>
        <w:rPr>
          <w:rFonts w:hint="eastAsia" w:ascii="仿宋_GB2312" w:hAnsi="黑体" w:eastAsia="仿宋_GB2312" w:cs="Times New Roman"/>
          <w:kern w:val="44"/>
          <w:sz w:val="32"/>
          <w:szCs w:val="44"/>
          <w:u w:val="double"/>
        </w:rPr>
      </w:pPr>
      <w:r>
        <w:rPr>
          <w:rFonts w:hint="eastAsia" w:ascii="仿宋_GB2312" w:hAnsi="黑体" w:eastAsia="仿宋_GB2312" w:cs="Times New Roman"/>
          <w:kern w:val="44"/>
          <w:sz w:val="32"/>
          <w:szCs w:val="44"/>
          <w:u w:val="double"/>
          <w:lang w:val="en-US" w:eastAsia="zh-CN"/>
        </w:rPr>
        <w:t xml:space="preserve">1.2 </w:t>
      </w:r>
      <w:r>
        <w:rPr>
          <w:rFonts w:hint="eastAsia" w:ascii="仿宋_GB2312" w:hAnsi="黑体" w:eastAsia="仿宋_GB2312" w:cs="Times New Roman"/>
          <w:kern w:val="44"/>
          <w:sz w:val="32"/>
          <w:szCs w:val="44"/>
          <w:u w:val="double"/>
        </w:rPr>
        <w:t>投标截止时间：</w:t>
      </w:r>
      <w:r>
        <w:rPr>
          <w:rFonts w:hint="eastAsia" w:ascii="仿宋_GB2312" w:hAnsi="黑体" w:eastAsia="仿宋_GB2312" w:cs="Times New Roman"/>
          <w:kern w:val="44"/>
          <w:sz w:val="32"/>
          <w:szCs w:val="44"/>
          <w:u w:val="double"/>
          <w:lang w:val="en-US" w:eastAsia="zh-CN"/>
        </w:rPr>
        <w:t>截止时间</w:t>
      </w:r>
      <w:r>
        <w:rPr>
          <w:rFonts w:hint="eastAsia" w:ascii="仿宋_GB2312" w:hAnsi="黑体" w:eastAsia="仿宋_GB2312" w:cs="Times New Roman"/>
          <w:kern w:val="44"/>
          <w:sz w:val="32"/>
          <w:szCs w:val="44"/>
          <w:u w:val="double"/>
        </w:rPr>
        <w:t>2</w:t>
      </w:r>
      <w:r>
        <w:rPr>
          <w:rFonts w:hint="eastAsia" w:ascii="仿宋_GB2312" w:hAnsi="黑体" w:eastAsia="仿宋_GB2312" w:cs="Times New Roman"/>
          <w:kern w:val="44"/>
          <w:sz w:val="32"/>
          <w:szCs w:val="44"/>
          <w:u w:val="double"/>
          <w:lang w:val="en-US" w:eastAsia="zh-CN"/>
        </w:rPr>
        <w:t>023年8月22日上午10:00。</w:t>
      </w:r>
    </w:p>
    <w:p>
      <w:pPr>
        <w:pStyle w:val="2"/>
        <w:ind w:firstLine="640" w:firstLineChars="200"/>
        <w:rPr>
          <w:rFonts w:hint="eastAsia" w:ascii="仿宋_GB2312" w:hAnsi="黑体" w:eastAsia="仿宋_GB2312" w:cs="Times New Roman"/>
          <w:color w:val="FF0000"/>
          <w:kern w:val="44"/>
          <w:sz w:val="32"/>
          <w:szCs w:val="44"/>
          <w:u w:val="double"/>
        </w:rPr>
      </w:pPr>
      <w:r>
        <w:rPr>
          <w:rFonts w:hint="eastAsia" w:ascii="仿宋_GB2312" w:hAnsi="黑体" w:eastAsia="仿宋_GB2312" w:cs="Times New Roman"/>
          <w:kern w:val="44"/>
          <w:sz w:val="32"/>
          <w:szCs w:val="44"/>
          <w:u w:val="double"/>
          <w:lang w:val="en-US" w:eastAsia="zh-CN"/>
        </w:rPr>
        <w:t xml:space="preserve">1.3 </w:t>
      </w:r>
      <w:r>
        <w:rPr>
          <w:rFonts w:hint="eastAsia" w:ascii="仿宋_GB2312" w:hAnsi="黑体" w:eastAsia="仿宋_GB2312" w:cs="Times New Roman"/>
          <w:color w:val="FF0000"/>
          <w:kern w:val="44"/>
          <w:sz w:val="32"/>
          <w:szCs w:val="44"/>
          <w:u w:val="double"/>
        </w:rPr>
        <w:t>供应商代表必须在投标截止时间前将投标文件上传</w:t>
      </w:r>
      <w:r>
        <w:rPr>
          <w:rFonts w:hint="eastAsia" w:ascii="仿宋_GB2312" w:hAnsi="黑体" w:eastAsia="仿宋_GB2312" w:cs="Times New Roman"/>
          <w:color w:val="FF0000"/>
          <w:kern w:val="44"/>
          <w:sz w:val="32"/>
          <w:szCs w:val="44"/>
          <w:u w:val="double"/>
          <w:lang w:eastAsia="zh-CN"/>
        </w:rPr>
        <w:t>并邮寄至少</w:t>
      </w:r>
      <w:r>
        <w:rPr>
          <w:rFonts w:hint="eastAsia" w:ascii="仿宋_GB2312" w:hAnsi="黑体" w:eastAsia="仿宋_GB2312" w:cs="Times New Roman"/>
          <w:color w:val="FF0000"/>
          <w:kern w:val="44"/>
          <w:sz w:val="32"/>
          <w:szCs w:val="44"/>
          <w:u w:val="double"/>
          <w:lang w:val="en-US" w:eastAsia="zh-CN"/>
        </w:rPr>
        <w:t>3份投标文件（加盖公章并密封）至采购人，邮寄地址：</w:t>
      </w:r>
      <w:r>
        <w:rPr>
          <w:rFonts w:hint="eastAsia" w:ascii="仿宋_GB2312" w:hAnsi="宋体" w:eastAsia="仿宋_GB2312" w:cs="Times New Roman"/>
          <w:color w:val="FF0000"/>
          <w:sz w:val="32"/>
          <w:szCs w:val="32"/>
          <w:u w:val="double"/>
          <w:lang w:val="en-US" w:eastAsia="zh-CN"/>
        </w:rPr>
        <w:t>山东省泰安市岱岳区大汶口石膏工业园区山东岱岳制盐有限公司新厂，生产管理部；收件人：张经理，13705382602。</w:t>
      </w:r>
    </w:p>
    <w:p>
      <w:pPr>
        <w:ind w:firstLine="640" w:firstLineChars="200"/>
        <w:rPr>
          <w:rFonts w:hint="eastAsia" w:ascii="仿宋_GB2312" w:hAnsi="黑体" w:eastAsia="仿宋_GB2312" w:cs="Times New Roman"/>
          <w:color w:val="FF0000"/>
          <w:kern w:val="44"/>
          <w:sz w:val="32"/>
          <w:szCs w:val="44"/>
          <w:u w:val="double"/>
        </w:rPr>
      </w:pPr>
      <w:r>
        <w:rPr>
          <w:rFonts w:hint="eastAsia" w:ascii="仿宋_GB2312" w:hAnsi="黑体" w:eastAsia="仿宋_GB2312" w:cs="Times New Roman"/>
          <w:color w:val="FF0000"/>
          <w:kern w:val="44"/>
          <w:sz w:val="32"/>
          <w:szCs w:val="44"/>
          <w:u w:val="double"/>
          <w:lang w:val="en-US" w:eastAsia="zh-CN"/>
        </w:rPr>
        <w:t xml:space="preserve">1.4 </w:t>
      </w:r>
      <w:r>
        <w:rPr>
          <w:rFonts w:hint="eastAsia" w:ascii="仿宋_GB2312" w:hAnsi="黑体" w:eastAsia="仿宋_GB2312" w:cs="Times New Roman"/>
          <w:color w:val="FF0000"/>
          <w:kern w:val="44"/>
          <w:sz w:val="32"/>
          <w:szCs w:val="44"/>
          <w:u w:val="double"/>
        </w:rPr>
        <w:t>电报、电话、</w:t>
      </w:r>
      <w:r>
        <w:rPr>
          <w:rFonts w:hint="eastAsia" w:ascii="仿宋_GB2312" w:hAnsi="黑体" w:eastAsia="仿宋_GB2312" w:cs="Times New Roman"/>
          <w:color w:val="FF0000"/>
          <w:kern w:val="44"/>
          <w:sz w:val="32"/>
          <w:szCs w:val="44"/>
          <w:u w:val="double"/>
          <w:lang w:eastAsia="zh-CN"/>
        </w:rPr>
        <w:t>口头报价</w:t>
      </w:r>
      <w:r>
        <w:rPr>
          <w:rFonts w:hint="eastAsia" w:ascii="仿宋_GB2312" w:hAnsi="黑体" w:eastAsia="仿宋_GB2312" w:cs="Times New Roman"/>
          <w:color w:val="FF0000"/>
          <w:kern w:val="44"/>
          <w:sz w:val="32"/>
          <w:szCs w:val="44"/>
          <w:u w:val="double"/>
        </w:rPr>
        <w:t>等形式的投标概不接受。</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四</w:t>
      </w:r>
      <w:r>
        <w:rPr>
          <w:rFonts w:hint="eastAsia" w:ascii="仿宋_GB2312" w:hAnsi="黑体" w:eastAsia="仿宋_GB2312" w:cs="Times New Roman"/>
          <w:kern w:val="44"/>
          <w:sz w:val="32"/>
          <w:szCs w:val="44"/>
        </w:rPr>
        <w:t>）迟交的投标文件</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u w:val="double"/>
        </w:rPr>
        <w:t>采购人将拒绝接收在投标截止时间后送达的投标文件。</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六、无效投标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（一）供应商有下列情况之一，其投标视为无效投标。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1、不具备招标文件中规定的资格要求的；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2、投标文件含有采购人不能接受的附加条件的；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3、投标有效期不满足招标文件要求；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4、供应商所报服务不能满足招标文件要求的；</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5、供应商存在弄虚作假的行为；</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6、属于采购人与供应商、供应商之间相互串通投标情形；</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7、对采购人、采购代理机构、评标委员会及其他工作人员施加影响，有碍公平、公正；</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8、招标文件规定的其他投标无效情形；</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9、法律、法规、规章规定属于投标无效的其他。</w:t>
      </w:r>
    </w:p>
    <w:p>
      <w:pPr>
        <w:jc w:val="center"/>
        <w:rPr>
          <w:rFonts w:ascii="方正小标宋简体" w:hAnsi="黑体" w:eastAsia="方正小标宋简体" w:cs="Times New Roman"/>
          <w:kern w:val="44"/>
          <w:sz w:val="44"/>
          <w:szCs w:val="44"/>
        </w:rPr>
      </w:pPr>
      <w:r>
        <w:rPr>
          <w:rFonts w:ascii="Times New Roman" w:hAnsi="Times New Roman" w:eastAsia="宋体" w:cs="Times New Roman"/>
          <w:szCs w:val="24"/>
        </w:rPr>
        <w:br w:type="page"/>
      </w:r>
      <w:bookmarkStart w:id="3" w:name="_Toc152045587"/>
      <w:bookmarkStart w:id="4" w:name="_Toc179632605"/>
      <w:bookmarkStart w:id="5" w:name="_Toc144974554"/>
      <w:bookmarkStart w:id="6" w:name="_Toc152042364"/>
      <w:r>
        <w:rPr>
          <w:rFonts w:hint="eastAsia" w:ascii="方正小标宋简体" w:hAnsi="黑体" w:eastAsia="方正小标宋简体" w:cs="Times New Roman"/>
          <w:kern w:val="44"/>
          <w:sz w:val="44"/>
          <w:szCs w:val="44"/>
        </w:rPr>
        <w:t>第三章 评标办法</w:t>
      </w:r>
      <w:bookmarkEnd w:id="3"/>
      <w:bookmarkEnd w:id="4"/>
      <w:bookmarkEnd w:id="5"/>
      <w:bookmarkEnd w:id="6"/>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一、评标委员会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按照相关规定由五人及以上单数组成评标委员会，评标委员会负责对投标文件进行审查、质疑、评审，确定中标候选人。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二、资格审查及投标文件的响应性审查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（一）本项目资格审查方式为资格后审。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（二）评标委员会将组织审查投标文件是否完整；是否按规定报价；报价是否有错误；投标文件是否已按招标文件的要求签署。</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（三）评标委员会经审查供应商提供的投标文件，如果确定供应商无资格或无能力履行合同，其投标将被拒绝。</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（四）</w:t>
      </w:r>
      <w:r>
        <w:rPr>
          <w:rFonts w:hint="eastAsia" w:ascii="仿宋_GB2312" w:hAnsi="Times New Roman" w:eastAsia="仿宋_GB2312" w:cs="Times New Roman"/>
          <w:spacing w:val="-6"/>
          <w:sz w:val="32"/>
          <w:szCs w:val="32"/>
        </w:rPr>
        <w:t>评标委员会将确定每一供应商是否对招标文件的要求做出了实质性的响</w:t>
      </w:r>
      <w:r>
        <w:rPr>
          <w:rFonts w:hint="eastAsia" w:ascii="仿宋_GB2312" w:hAnsi="Times New Roman" w:eastAsia="仿宋_GB2312" w:cs="Times New Roman"/>
          <w:spacing w:val="-4"/>
          <w:sz w:val="32"/>
          <w:szCs w:val="32"/>
        </w:rPr>
        <w:t>应而没有重大偏离。实质性响应的投标是指投标符合招标文件的所有条款、条</w:t>
      </w:r>
      <w:r>
        <w:rPr>
          <w:rFonts w:hint="eastAsia" w:ascii="仿宋_GB2312" w:hAnsi="Times New Roman" w:eastAsia="仿宋_GB2312" w:cs="Times New Roman"/>
          <w:spacing w:val="-3"/>
          <w:sz w:val="32"/>
          <w:szCs w:val="32"/>
        </w:rPr>
        <w:t>件和规定且没有重大偏离或保留。评标委员会判断投标文件的响应性仅基于投标文件本身而不靠外部证据。</w:t>
      </w:r>
    </w:p>
    <w:p>
      <w:pPr>
        <w:ind w:firstLine="640" w:firstLineChars="200"/>
        <w:rPr>
          <w:rFonts w:ascii="黑体" w:hAnsi="黑体" w:eastAsia="黑体" w:cs="Times New Roman"/>
          <w:sz w:val="32"/>
          <w:szCs w:val="32"/>
        </w:rPr>
      </w:pPr>
      <w:r>
        <w:rPr>
          <w:rFonts w:hint="eastAsia" w:ascii="仿宋_GB2312" w:hAnsi="Times New Roman" w:eastAsia="仿宋_GB2312" w:cs="Times New Roman"/>
          <w:sz w:val="32"/>
          <w:szCs w:val="32"/>
        </w:rPr>
        <w:t>（五）评标委员会将拒绝被确定为非实质性响应的投标文件，供应商不能通过修正或撤销投标文件中的不符之处而使其投标成为实质性响应的投标。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三、评标原则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“公平、公正、竞争、择优”为本次评标的基本原则，评标委员会将按照</w:t>
      </w:r>
      <w:r>
        <w:rPr>
          <w:rFonts w:hint="eastAsia" w:ascii="仿宋_GB2312" w:hAnsi="Times New Roman" w:eastAsia="仿宋_GB2312" w:cs="Times New Roman"/>
          <w:spacing w:val="-7"/>
          <w:sz w:val="32"/>
          <w:szCs w:val="32"/>
        </w:rPr>
        <w:t>这一原则的要求，公正、平等地对待各供应商。同时，在评标时恪守以下原则：</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6"/>
          <w:sz w:val="32"/>
          <w:szCs w:val="32"/>
        </w:rPr>
        <w:t>客观性原则：评标委员会将严格按照招标文件的要求，对供应商的投标</w:t>
      </w:r>
      <w:r>
        <w:rPr>
          <w:rFonts w:hint="eastAsia" w:ascii="仿宋_GB2312" w:hAnsi="Times New Roman" w:eastAsia="仿宋_GB2312" w:cs="Times New Roman"/>
          <w:spacing w:val="-4"/>
          <w:sz w:val="32"/>
          <w:szCs w:val="32"/>
        </w:rPr>
        <w:t>文件进行认真评审；评标委员会对投标文件的评审仅依据投标文件本身，而不</w:t>
      </w:r>
      <w:r>
        <w:rPr>
          <w:rFonts w:hint="eastAsia" w:ascii="仿宋_GB2312" w:hAnsi="Times New Roman" w:eastAsia="仿宋_GB2312" w:cs="Times New Roman"/>
          <w:spacing w:val="-3"/>
          <w:sz w:val="32"/>
          <w:szCs w:val="32"/>
        </w:rPr>
        <w:t>依靠投标文件以外的任何因素。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（二）统一性原则：评标委员会将按照统一的评标原则和评标方法，用同一标准进行评标。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（三）独立性原则：评标工作在评标委员会内部独立进行，不受外界任何因素的干扰和影响。评委对出具的评标意见承担个人责任。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（四）保密性原则：评委及熟知情况的有关工作人员必须对供应商的商业秘密严格保密。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（五）综合性原则：评标委员会将综合分析、评审供应商的各项指标，而不以单项指标的优劣评定出中标人。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四、定标原则和评标方法</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（一）按能够最大限度的满足招标文件，采用综合评估法，以综合得分最高分中标的原则定标。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（二）采用综合评分法来确定中标人，最低报价不作为中标的唯一依据。</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评标程序：</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初步评审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依据招标文件的规定，从投标文件的有效性、完整性和响应程度进行审查，以确定是否对招标文件的要求做出了实质性的响应。</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综合评</w:t>
      </w:r>
      <w:r>
        <w:rPr>
          <w:rFonts w:hint="eastAsia" w:ascii="仿宋_GB2312" w:hAnsi="Times New Roman" w:eastAsia="仿宋_GB2312" w:cs="Times New Roman"/>
          <w:sz w:val="32"/>
          <w:szCs w:val="32"/>
          <w:lang w:eastAsia="zh-CN"/>
        </w:rPr>
        <w:t>标</w:t>
      </w:r>
    </w:p>
    <w:p>
      <w:pPr>
        <w:ind w:firstLine="640" w:firstLineChars="200"/>
        <w:rPr>
          <w:rFonts w:hint="eastAsia" w:ascii="仿宋_GB2312" w:hAnsi="Times New Roman" w:eastAsia="仿宋_GB2312" w:cs="Times New Roman"/>
          <w:sz w:val="32"/>
          <w:szCs w:val="32"/>
        </w:rPr>
      </w:pPr>
      <w:r>
        <w:rPr>
          <w:rFonts w:hint="eastAsia" w:ascii="仿宋_GB2312" w:hAnsi="黑体" w:eastAsia="仿宋_GB2312" w:cs="Times New Roman"/>
          <w:kern w:val="44"/>
          <w:sz w:val="32"/>
          <w:szCs w:val="44"/>
          <w:u w:val="double"/>
          <w:lang w:val="zh-CN" w:eastAsia="zh-CN"/>
        </w:rPr>
        <w:t>评标委员会将根据各自提供的施工方案进行评比打分，</w:t>
      </w:r>
      <w:r>
        <w:rPr>
          <w:rFonts w:hint="eastAsia" w:ascii="仿宋_GB2312" w:hAnsi="Times New Roman" w:eastAsia="仿宋_GB2312" w:cs="Times New Roman"/>
          <w:sz w:val="32"/>
          <w:szCs w:val="32"/>
          <w:lang w:eastAsia="zh-CN"/>
        </w:rPr>
        <w:t>然后</w:t>
      </w:r>
      <w:r>
        <w:rPr>
          <w:rFonts w:hint="eastAsia" w:ascii="仿宋_GB2312" w:hAnsi="Times New Roman" w:eastAsia="仿宋_GB2312" w:cs="Times New Roman"/>
          <w:sz w:val="32"/>
          <w:szCs w:val="32"/>
        </w:rPr>
        <w:t>根据综合评分情况，按照评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得分由高到低顺序确定中标人，评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得分相同的，按照报价由低到高的顺序确定中标人，评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得分相同且最后报价相同的，按照技术指标优劣顺序确定中标人。</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3、评标因素及分值：</w:t>
      </w:r>
    </w:p>
    <w:tbl>
      <w:tblPr>
        <w:tblStyle w:val="9"/>
        <w:tblpPr w:leftFromText="180" w:rightFromText="180" w:vertAnchor="text" w:horzAnchor="page" w:tblpX="2124" w:tblpY="251"/>
        <w:tblOverlap w:val="never"/>
        <w:tblW w:w="0" w:type="auto"/>
        <w:tblInd w:w="0" w:type="dxa"/>
        <w:tblLayout w:type="fixed"/>
        <w:tblCellMar>
          <w:top w:w="0" w:type="dxa"/>
          <w:left w:w="10" w:type="dxa"/>
          <w:bottom w:w="0" w:type="dxa"/>
          <w:right w:w="10" w:type="dxa"/>
        </w:tblCellMar>
      </w:tblPr>
      <w:tblGrid>
        <w:gridCol w:w="1313"/>
        <w:gridCol w:w="1640"/>
        <w:gridCol w:w="1640"/>
        <w:gridCol w:w="1644"/>
        <w:gridCol w:w="1151"/>
      </w:tblGrid>
      <w:tr>
        <w:tblPrEx>
          <w:tblCellMar>
            <w:top w:w="0" w:type="dxa"/>
            <w:left w:w="10" w:type="dxa"/>
            <w:bottom w:w="0" w:type="dxa"/>
            <w:right w:w="10" w:type="dxa"/>
          </w:tblCellMar>
        </w:tblPrEx>
        <w:trPr>
          <w:trHeight w:val="459"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评分因素</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报价得分</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商务得分</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技术</w:t>
            </w:r>
            <w:r>
              <w:rPr>
                <w:rFonts w:hint="eastAsia" w:ascii="仿宋_GB2312" w:hAnsi="仿宋" w:eastAsia="仿宋_GB2312"/>
                <w:b/>
                <w:color w:val="000000"/>
                <w:sz w:val="24"/>
                <w:szCs w:val="24"/>
                <w:lang w:val="zh-CN"/>
              </w:rPr>
              <w:t>得分</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总分值</w:t>
            </w:r>
          </w:p>
        </w:tc>
      </w:tr>
      <w:tr>
        <w:tblPrEx>
          <w:tblCellMar>
            <w:top w:w="0" w:type="dxa"/>
            <w:left w:w="10" w:type="dxa"/>
            <w:bottom w:w="0" w:type="dxa"/>
            <w:right w:w="10" w:type="dxa"/>
          </w:tblCellMar>
        </w:tblPrEx>
        <w:trPr>
          <w:trHeight w:val="613"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分值</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45</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eastAsia" w:ascii="仿宋_GB2312" w:hAnsi="楷体" w:eastAsia="仿宋_GB2312"/>
                <w:sz w:val="24"/>
                <w:szCs w:val="24"/>
                <w:lang w:val="zh-CN" w:eastAsia="zh-CN"/>
              </w:rPr>
            </w:pPr>
            <w:r>
              <w:rPr>
                <w:rFonts w:ascii="仿宋_GB2312" w:hAnsi="楷体" w:eastAsia="仿宋_GB2312"/>
                <w:sz w:val="24"/>
                <w:szCs w:val="24"/>
                <w:lang w:val="zh-CN"/>
              </w:rPr>
              <w:t>2</w:t>
            </w:r>
            <w:r>
              <w:rPr>
                <w:rFonts w:hint="eastAsia" w:ascii="仿宋_GB2312" w:hAnsi="楷体" w:eastAsia="仿宋_GB2312"/>
                <w:sz w:val="24"/>
                <w:szCs w:val="24"/>
                <w:lang w:val="en-US" w:eastAsia="zh-CN"/>
              </w:rPr>
              <w:t>4</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31</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100</w:t>
            </w:r>
          </w:p>
        </w:tc>
      </w:tr>
    </w:tbl>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3.1报价得分</w:t>
      </w:r>
    </w:p>
    <w:tbl>
      <w:tblPr>
        <w:tblStyle w:val="9"/>
        <w:tblW w:w="8008" w:type="dxa"/>
        <w:tblInd w:w="292" w:type="dxa"/>
        <w:tblLayout w:type="fixed"/>
        <w:tblCellMar>
          <w:top w:w="0" w:type="dxa"/>
          <w:left w:w="108" w:type="dxa"/>
          <w:bottom w:w="0" w:type="dxa"/>
          <w:right w:w="108" w:type="dxa"/>
        </w:tblCellMar>
      </w:tblPr>
      <w:tblGrid>
        <w:gridCol w:w="1281"/>
        <w:gridCol w:w="830"/>
        <w:gridCol w:w="5897"/>
      </w:tblGrid>
      <w:tr>
        <w:tblPrEx>
          <w:tblCellMar>
            <w:top w:w="0" w:type="dxa"/>
            <w:left w:w="108" w:type="dxa"/>
            <w:bottom w:w="0" w:type="dxa"/>
            <w:right w:w="108" w:type="dxa"/>
          </w:tblCellMar>
        </w:tblPrEx>
        <w:trPr>
          <w:trHeight w:val="653"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724"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报价</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45</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（1）有效投标人数少于5家（含5家），所有有效报价的算术平均值的90%为评标基准价，（保留两位小数）。</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（2）有效投标人数多于6家（含6家），去掉一个最高报价和一个最低报价后，其余有效报价算术平均值的90%（保留两位小数）作为评标基准价。</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（3）报价与评标基准价一致的，得最高分</w:t>
            </w:r>
            <w:r>
              <w:rPr>
                <w:rFonts w:hint="eastAsia" w:ascii="仿宋_GB2312" w:hAnsi="仿宋" w:eastAsia="仿宋_GB2312"/>
                <w:sz w:val="24"/>
                <w:szCs w:val="24"/>
                <w:lang w:val="en-US" w:eastAsia="zh-CN"/>
              </w:rPr>
              <w:t>45</w:t>
            </w:r>
            <w:r>
              <w:rPr>
                <w:rFonts w:ascii="仿宋_GB2312" w:hAnsi="仿宋" w:eastAsia="仿宋_GB2312"/>
                <w:sz w:val="24"/>
                <w:szCs w:val="24"/>
                <w:lang w:val="zh-CN"/>
              </w:rPr>
              <w:t>分：在评标基准价以上，每提高一个百分点，在</w:t>
            </w:r>
            <w:r>
              <w:rPr>
                <w:rFonts w:hint="eastAsia" w:ascii="仿宋_GB2312" w:hAnsi="仿宋" w:eastAsia="仿宋_GB2312"/>
                <w:sz w:val="24"/>
                <w:szCs w:val="24"/>
                <w:lang w:val="en-US" w:eastAsia="zh-CN"/>
              </w:rPr>
              <w:t>45</w:t>
            </w:r>
            <w:r>
              <w:rPr>
                <w:rFonts w:ascii="仿宋_GB2312" w:hAnsi="仿宋" w:eastAsia="仿宋_GB2312"/>
                <w:sz w:val="24"/>
                <w:szCs w:val="24"/>
                <w:lang w:val="zh-CN"/>
              </w:rPr>
              <w:t>分基础上减1分；在评标基准价以下，每减少一个百分点，在</w:t>
            </w:r>
            <w:r>
              <w:rPr>
                <w:rFonts w:hint="eastAsia" w:ascii="仿宋_GB2312" w:hAnsi="仿宋" w:eastAsia="仿宋_GB2312"/>
                <w:sz w:val="24"/>
                <w:szCs w:val="24"/>
                <w:lang w:val="en-US" w:eastAsia="zh-CN"/>
              </w:rPr>
              <w:t>45</w:t>
            </w:r>
            <w:r>
              <w:rPr>
                <w:rFonts w:ascii="仿宋_GB2312" w:hAnsi="仿宋" w:eastAsia="仿宋_GB2312"/>
                <w:sz w:val="24"/>
                <w:szCs w:val="24"/>
                <w:lang w:val="zh-CN"/>
              </w:rPr>
              <w:t>分的基础上减0.5分。（最低得20分）</w:t>
            </w:r>
          </w:p>
          <w:p>
            <w:pPr>
              <w:wordWrap w:val="0"/>
              <w:autoSpaceDE w:val="0"/>
              <w:autoSpaceDN w:val="0"/>
              <w:snapToGrid w:val="0"/>
              <w:spacing w:line="360" w:lineRule="exact"/>
              <w:ind w:firstLine="480" w:firstLineChars="200"/>
              <w:rPr>
                <w:rFonts w:ascii="仿宋_GB2312" w:hAnsi="仿宋" w:eastAsia="仿宋_GB2312"/>
                <w:color w:val="000000"/>
                <w:sz w:val="24"/>
                <w:szCs w:val="24"/>
                <w:lang w:val="zh-CN"/>
              </w:rPr>
            </w:pPr>
            <w:r>
              <w:rPr>
                <w:rFonts w:ascii="仿宋_GB2312" w:hAnsi="仿宋" w:eastAsia="仿宋_GB2312"/>
                <w:sz w:val="24"/>
                <w:szCs w:val="24"/>
                <w:lang w:val="zh-CN"/>
              </w:rPr>
              <w:t>偏差率=100%×（投标人报价－评标基准价）/评标基准价</w:t>
            </w:r>
          </w:p>
        </w:tc>
      </w:tr>
    </w:tbl>
    <w:p>
      <w:pPr>
        <w:ind w:firstLine="640"/>
        <w:rPr>
          <w:rFonts w:hint="default"/>
          <w:lang w:val="en-US" w:eastAsia="zh-CN"/>
        </w:rPr>
      </w:pPr>
    </w:p>
    <w:p>
      <w:pPr>
        <w:spacing w:line="560" w:lineRule="exact"/>
        <w:ind w:firstLine="600" w:firstLineChars="200"/>
        <w:jc w:val="left"/>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.2 商务得分</w:t>
      </w:r>
    </w:p>
    <w:tbl>
      <w:tblPr>
        <w:tblStyle w:val="9"/>
        <w:tblW w:w="0" w:type="auto"/>
        <w:tblInd w:w="292" w:type="dxa"/>
        <w:tblLayout w:type="fixed"/>
        <w:tblCellMar>
          <w:top w:w="0" w:type="dxa"/>
          <w:left w:w="108" w:type="dxa"/>
          <w:bottom w:w="0" w:type="dxa"/>
          <w:right w:w="108" w:type="dxa"/>
        </w:tblCellMar>
      </w:tblPr>
      <w:tblGrid>
        <w:gridCol w:w="1346"/>
        <w:gridCol w:w="765"/>
        <w:gridCol w:w="5897"/>
      </w:tblGrid>
      <w:tr>
        <w:tblPrEx>
          <w:tblCellMar>
            <w:top w:w="0" w:type="dxa"/>
            <w:left w:w="108" w:type="dxa"/>
            <w:bottom w:w="0" w:type="dxa"/>
            <w:right w:w="108" w:type="dxa"/>
          </w:tblCellMar>
        </w:tblPrEx>
        <w:trPr>
          <w:trHeight w:val="74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企业业绩</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olor w:val="000000"/>
                <w:sz w:val="24"/>
                <w:szCs w:val="24"/>
                <w:lang w:val="zh-CN" w:eastAsia="zh-CN"/>
              </w:rPr>
            </w:pPr>
            <w:r>
              <w:rPr>
                <w:rFonts w:ascii="仿宋_GB2312" w:hAnsi="仿宋" w:eastAsia="仿宋_GB2312"/>
                <w:color w:val="000000"/>
                <w:sz w:val="24"/>
                <w:szCs w:val="24"/>
                <w:lang w:val="zh-CN"/>
              </w:rPr>
              <w:t>2</w:t>
            </w:r>
            <w:r>
              <w:rPr>
                <w:rFonts w:hint="eastAsia" w:ascii="仿宋_GB2312" w:hAnsi="仿宋" w:eastAsia="仿宋_GB2312"/>
                <w:color w:val="000000"/>
                <w:sz w:val="24"/>
                <w:szCs w:val="24"/>
                <w:lang w:val="en-US" w:eastAsia="zh-CN"/>
              </w:rPr>
              <w:t>4</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rPr>
                <w:rFonts w:hint="eastAsia" w:ascii="仿宋_GB2312" w:hAnsi="仿宋" w:eastAsia="仿宋_GB2312"/>
                <w:sz w:val="24"/>
                <w:szCs w:val="24"/>
                <w:lang w:val="en-US" w:eastAsia="zh-CN"/>
              </w:rPr>
            </w:pPr>
            <w:r>
              <w:rPr>
                <w:rFonts w:hint="eastAsia" w:ascii="仿宋_GB2312" w:hAnsi="仿宋" w:eastAsia="仿宋_GB2312"/>
                <w:sz w:val="24"/>
                <w:szCs w:val="24"/>
                <w:lang w:val="zh-CN"/>
              </w:rPr>
              <w:t>提供符合要求的营业执照、安全生产许可证、资质证明、供应商简况表等，得</w:t>
            </w:r>
            <w:r>
              <w:rPr>
                <w:rFonts w:hint="eastAsia" w:ascii="仿宋_GB2312" w:hAnsi="仿宋" w:eastAsia="仿宋_GB2312"/>
                <w:sz w:val="24"/>
                <w:szCs w:val="24"/>
                <w:lang w:val="en-US" w:eastAsia="zh-CN"/>
              </w:rPr>
              <w:t>4分；</w:t>
            </w:r>
          </w:p>
          <w:p>
            <w:pPr>
              <w:wordWrap w:val="0"/>
              <w:autoSpaceDE w:val="0"/>
              <w:autoSpaceDN w:val="0"/>
              <w:snapToGrid w:val="0"/>
              <w:spacing w:line="360" w:lineRule="exact"/>
              <w:rPr>
                <w:rFonts w:ascii="仿宋_GB2312" w:hAnsi="仿宋" w:eastAsia="仿宋_GB2312"/>
                <w:color w:val="000000"/>
                <w:sz w:val="24"/>
                <w:szCs w:val="24"/>
                <w:lang w:val="zh-CN"/>
              </w:rPr>
            </w:pPr>
            <w:r>
              <w:rPr>
                <w:rFonts w:ascii="仿宋_GB2312" w:hAnsi="仿宋" w:eastAsia="仿宋_GB2312"/>
                <w:sz w:val="24"/>
                <w:szCs w:val="24"/>
                <w:lang w:val="zh-CN"/>
              </w:rPr>
              <w:t>提供</w:t>
            </w:r>
            <w:r>
              <w:rPr>
                <w:rFonts w:hint="eastAsia" w:ascii="仿宋_GB2312" w:hAnsi="仿宋" w:eastAsia="仿宋_GB2312"/>
                <w:sz w:val="24"/>
                <w:szCs w:val="24"/>
                <w:lang w:val="en-US" w:eastAsia="zh-CN"/>
              </w:rPr>
              <w:t>近2年以来的类似工程业绩合同，每个业绩</w:t>
            </w:r>
            <w:r>
              <w:rPr>
                <w:rFonts w:ascii="仿宋_GB2312" w:hAnsi="仿宋" w:eastAsia="仿宋_GB2312"/>
                <w:sz w:val="24"/>
                <w:szCs w:val="24"/>
                <w:lang w:val="zh-CN"/>
              </w:rPr>
              <w:t>得基本分</w:t>
            </w:r>
            <w:r>
              <w:rPr>
                <w:rFonts w:hint="eastAsia" w:ascii="仿宋_GB2312" w:hAnsi="仿宋" w:eastAsia="仿宋_GB2312"/>
                <w:sz w:val="24"/>
                <w:szCs w:val="24"/>
                <w:lang w:val="en-US" w:eastAsia="zh-CN"/>
              </w:rPr>
              <w:t>2</w:t>
            </w:r>
            <w:r>
              <w:rPr>
                <w:rFonts w:ascii="仿宋_GB2312" w:hAnsi="仿宋" w:eastAsia="仿宋_GB2312"/>
                <w:sz w:val="24"/>
                <w:szCs w:val="24"/>
                <w:lang w:val="zh-CN"/>
              </w:rPr>
              <w:t>分，满分20分。</w:t>
            </w:r>
          </w:p>
        </w:tc>
      </w:tr>
    </w:tbl>
    <w:p>
      <w:pPr>
        <w:pStyle w:val="3"/>
        <w:ind w:firstLine="600"/>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.3技术得分</w:t>
      </w:r>
    </w:p>
    <w:tbl>
      <w:tblPr>
        <w:tblStyle w:val="9"/>
        <w:tblW w:w="8008" w:type="dxa"/>
        <w:tblInd w:w="292" w:type="dxa"/>
        <w:tblLayout w:type="fixed"/>
        <w:tblCellMar>
          <w:top w:w="0" w:type="dxa"/>
          <w:left w:w="108" w:type="dxa"/>
          <w:bottom w:w="0" w:type="dxa"/>
          <w:right w:w="108" w:type="dxa"/>
        </w:tblCellMar>
      </w:tblPr>
      <w:tblGrid>
        <w:gridCol w:w="489"/>
        <w:gridCol w:w="859"/>
        <w:gridCol w:w="850"/>
        <w:gridCol w:w="5810"/>
      </w:tblGrid>
      <w:tr>
        <w:tblPrEx>
          <w:tblCellMar>
            <w:top w:w="0" w:type="dxa"/>
            <w:left w:w="108" w:type="dxa"/>
            <w:bottom w:w="0" w:type="dxa"/>
            <w:right w:w="108" w:type="dxa"/>
          </w:tblCellMar>
        </w:tblPrEx>
        <w:trPr>
          <w:trHeight w:val="663" w:hRule="atLeast"/>
        </w:trPr>
        <w:tc>
          <w:tcPr>
            <w:tcW w:w="134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179" w:hRule="atLeast"/>
        </w:trPr>
        <w:tc>
          <w:tcPr>
            <w:tcW w:w="489" w:type="dxa"/>
            <w:vMerge w:val="restart"/>
            <w:tcBorders>
              <w:left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p>
        </w:tc>
        <w:tc>
          <w:tcPr>
            <w:tcW w:w="859"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olor w:val="000000"/>
                <w:sz w:val="24"/>
                <w:szCs w:val="24"/>
                <w:lang w:val="zh-CN" w:eastAsia="zh-CN"/>
              </w:rPr>
            </w:pPr>
            <w:r>
              <w:rPr>
                <w:rFonts w:hint="eastAsia" w:ascii="仿宋_GB2312" w:hAnsi="宋体" w:eastAsia="仿宋_GB2312"/>
                <w:sz w:val="24"/>
                <w:szCs w:val="24"/>
                <w:lang w:eastAsia="zh-CN"/>
              </w:rPr>
              <w:t>方案</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28</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rPr>
                <w:rFonts w:hint="eastAsia" w:ascii="仿宋_GB2312" w:hAnsi="仿宋" w:eastAsia="仿宋_GB2312"/>
                <w:sz w:val="24"/>
                <w:szCs w:val="24"/>
              </w:rPr>
            </w:pPr>
            <w:r>
              <w:rPr>
                <w:rFonts w:hint="eastAsia" w:ascii="仿宋_GB2312" w:hAnsi="仿宋" w:eastAsia="仿宋_GB2312"/>
                <w:sz w:val="24"/>
                <w:szCs w:val="24"/>
                <w:lang w:val="en-US" w:eastAsia="zh-CN"/>
              </w:rPr>
              <w:t>1、</w:t>
            </w:r>
            <w:r>
              <w:rPr>
                <w:rFonts w:hint="eastAsia" w:ascii="仿宋_GB2312" w:hAnsi="仿宋" w:eastAsia="仿宋_GB2312"/>
                <w:sz w:val="24"/>
                <w:szCs w:val="24"/>
                <w:lang w:eastAsia="zh-CN"/>
              </w:rPr>
              <w:t>提供施工方案的，得</w:t>
            </w:r>
            <w:r>
              <w:rPr>
                <w:rFonts w:hint="eastAsia" w:ascii="仿宋_GB2312" w:hAnsi="仿宋" w:eastAsia="仿宋_GB2312"/>
                <w:sz w:val="24"/>
                <w:szCs w:val="24"/>
                <w:lang w:val="en-US" w:eastAsia="zh-CN"/>
              </w:rPr>
              <w:t>2分</w:t>
            </w:r>
            <w:r>
              <w:rPr>
                <w:rFonts w:hint="eastAsia" w:ascii="仿宋_GB2312" w:hAnsi="仿宋" w:eastAsia="仿宋_GB2312"/>
                <w:sz w:val="24"/>
                <w:szCs w:val="24"/>
              </w:rPr>
              <w:t>；</w:t>
            </w:r>
          </w:p>
          <w:p>
            <w:pPr>
              <w:wordWrap w:val="0"/>
              <w:autoSpaceDE w:val="0"/>
              <w:autoSpaceDN w:val="0"/>
              <w:snapToGrid w:val="0"/>
              <w:spacing w:line="360" w:lineRule="exact"/>
              <w:rPr>
                <w:rFonts w:hint="eastAsia" w:ascii="仿宋_GB2312" w:hAnsi="仿宋" w:eastAsia="仿宋_GB2312"/>
                <w:sz w:val="24"/>
                <w:szCs w:val="24"/>
                <w:lang w:val="en-US" w:eastAsia="zh-CN"/>
              </w:rPr>
            </w:pPr>
            <w:r>
              <w:rPr>
                <w:rFonts w:hint="eastAsia" w:ascii="仿宋_GB2312" w:hAnsi="仿宋" w:eastAsia="仿宋_GB2312"/>
                <w:sz w:val="24"/>
                <w:szCs w:val="24"/>
                <w:lang w:eastAsia="zh-CN"/>
              </w:rPr>
              <w:t>施工方案内容且全面、可行的，</w:t>
            </w:r>
            <w:r>
              <w:rPr>
                <w:rFonts w:hint="eastAsia" w:ascii="仿宋_GB2312" w:hAnsi="仿宋" w:eastAsia="仿宋_GB2312"/>
                <w:sz w:val="24"/>
                <w:szCs w:val="24"/>
              </w:rPr>
              <w:t>评委根据</w:t>
            </w:r>
            <w:r>
              <w:rPr>
                <w:rFonts w:hint="eastAsia" w:ascii="仿宋_GB2312" w:hAnsi="仿宋" w:eastAsia="仿宋_GB2312"/>
                <w:sz w:val="24"/>
                <w:szCs w:val="24"/>
                <w:lang w:eastAsia="zh-CN"/>
              </w:rPr>
              <w:t>文件</w:t>
            </w:r>
            <w:r>
              <w:rPr>
                <w:rFonts w:hint="eastAsia" w:ascii="仿宋_GB2312" w:hAnsi="仿宋" w:eastAsia="仿宋_GB2312"/>
                <w:sz w:val="24"/>
                <w:szCs w:val="24"/>
              </w:rPr>
              <w:t>情况酌情得0-</w:t>
            </w:r>
            <w:r>
              <w:rPr>
                <w:rFonts w:hint="eastAsia" w:ascii="仿宋_GB2312" w:hAnsi="仿宋" w:eastAsia="仿宋_GB2312"/>
                <w:sz w:val="24"/>
                <w:szCs w:val="24"/>
                <w:lang w:val="en-US" w:eastAsia="zh-CN"/>
              </w:rPr>
              <w:t>20</w:t>
            </w:r>
            <w:r>
              <w:rPr>
                <w:rFonts w:hint="eastAsia" w:ascii="仿宋_GB2312" w:hAnsi="仿宋" w:eastAsia="仿宋_GB2312"/>
                <w:sz w:val="24"/>
                <w:szCs w:val="24"/>
              </w:rPr>
              <w:t>分</w:t>
            </w:r>
            <w:r>
              <w:rPr>
                <w:rFonts w:hint="eastAsia" w:ascii="仿宋_GB2312" w:hAnsi="仿宋" w:eastAsia="仿宋_GB2312"/>
                <w:sz w:val="24"/>
                <w:szCs w:val="24"/>
                <w:lang w:eastAsia="zh-CN"/>
              </w:rPr>
              <w:t>。若此条缺项不得分；</w:t>
            </w:r>
          </w:p>
          <w:p>
            <w:pPr>
              <w:wordWrap w:val="0"/>
              <w:autoSpaceDE w:val="0"/>
              <w:autoSpaceDN w:val="0"/>
              <w:snapToGrid w:val="0"/>
              <w:spacing w:line="360" w:lineRule="exact"/>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2、</w:t>
            </w:r>
            <w:r>
              <w:rPr>
                <w:rFonts w:hint="eastAsia" w:ascii="仿宋_GB2312" w:hAnsi="仿宋" w:eastAsia="仿宋_GB2312"/>
                <w:sz w:val="24"/>
                <w:szCs w:val="24"/>
                <w:lang w:eastAsia="zh-CN"/>
              </w:rPr>
              <w:t>提供安全施工方案的，得</w:t>
            </w:r>
            <w:r>
              <w:rPr>
                <w:rFonts w:hint="eastAsia" w:ascii="仿宋_GB2312" w:hAnsi="仿宋" w:eastAsia="仿宋_GB2312"/>
                <w:sz w:val="24"/>
                <w:szCs w:val="24"/>
                <w:lang w:val="en-US" w:eastAsia="zh-CN"/>
              </w:rPr>
              <w:t>1分；</w:t>
            </w:r>
          </w:p>
          <w:p>
            <w:r>
              <w:rPr>
                <w:rFonts w:hint="eastAsia" w:ascii="仿宋_GB2312" w:hAnsi="仿宋" w:eastAsia="仿宋_GB2312"/>
                <w:sz w:val="24"/>
                <w:szCs w:val="24"/>
                <w:lang w:eastAsia="zh-CN"/>
              </w:rPr>
              <w:t>安全施工方案全面、合理的，</w:t>
            </w:r>
            <w:r>
              <w:rPr>
                <w:rFonts w:hint="eastAsia" w:ascii="仿宋_GB2312" w:hAnsi="仿宋" w:eastAsia="仿宋_GB2312"/>
                <w:sz w:val="24"/>
                <w:szCs w:val="24"/>
              </w:rPr>
              <w:t>评委根据</w:t>
            </w:r>
            <w:r>
              <w:rPr>
                <w:rFonts w:hint="eastAsia" w:ascii="仿宋_GB2312" w:hAnsi="仿宋" w:eastAsia="仿宋_GB2312"/>
                <w:sz w:val="24"/>
                <w:szCs w:val="24"/>
                <w:lang w:eastAsia="zh-CN"/>
              </w:rPr>
              <w:t>文件</w:t>
            </w:r>
            <w:r>
              <w:rPr>
                <w:rFonts w:hint="eastAsia" w:ascii="仿宋_GB2312" w:hAnsi="仿宋" w:eastAsia="仿宋_GB2312"/>
                <w:sz w:val="24"/>
                <w:szCs w:val="24"/>
              </w:rPr>
              <w:t>情况酌情得0-</w:t>
            </w:r>
            <w:r>
              <w:rPr>
                <w:rFonts w:hint="eastAsia" w:ascii="仿宋_GB2312" w:hAnsi="仿宋" w:eastAsia="仿宋_GB2312"/>
                <w:sz w:val="24"/>
                <w:szCs w:val="24"/>
                <w:lang w:val="en-US" w:eastAsia="zh-CN"/>
              </w:rPr>
              <w:t>3</w:t>
            </w:r>
            <w:r>
              <w:rPr>
                <w:rFonts w:hint="eastAsia" w:ascii="仿宋_GB2312" w:hAnsi="仿宋" w:eastAsia="仿宋_GB2312"/>
                <w:sz w:val="24"/>
                <w:szCs w:val="24"/>
              </w:rPr>
              <w:t>分</w:t>
            </w:r>
            <w:r>
              <w:rPr>
                <w:rFonts w:hint="eastAsia" w:ascii="仿宋_GB2312" w:hAnsi="仿宋" w:eastAsia="仿宋_GB2312"/>
                <w:sz w:val="24"/>
                <w:szCs w:val="24"/>
                <w:lang w:eastAsia="zh-CN"/>
              </w:rPr>
              <w:t>。</w:t>
            </w:r>
          </w:p>
          <w:p>
            <w:pPr>
              <w:wordWrap w:val="0"/>
              <w:autoSpaceDE w:val="0"/>
              <w:autoSpaceDN w:val="0"/>
              <w:snapToGrid w:val="0"/>
              <w:spacing w:line="360" w:lineRule="exact"/>
              <w:rPr>
                <w:rFonts w:hint="eastAsia" w:ascii="仿宋_GB2312" w:hAnsi="仿宋" w:eastAsia="仿宋_GB2312"/>
                <w:sz w:val="24"/>
                <w:szCs w:val="24"/>
                <w:lang w:eastAsia="zh-CN"/>
              </w:rPr>
            </w:pPr>
            <w:r>
              <w:rPr>
                <w:rFonts w:hint="eastAsia" w:ascii="仿宋_GB2312" w:hAnsi="仿宋" w:eastAsia="仿宋_GB2312"/>
                <w:sz w:val="24"/>
                <w:szCs w:val="24"/>
                <w:lang w:eastAsia="zh-CN"/>
              </w:rPr>
              <w:t>若此条缺项不得分；</w:t>
            </w:r>
          </w:p>
          <w:p>
            <w:pPr>
              <w:wordWrap w:val="0"/>
              <w:autoSpaceDE w:val="0"/>
              <w:autoSpaceDN w:val="0"/>
              <w:snapToGrid w:val="0"/>
              <w:spacing w:line="360" w:lineRule="exact"/>
              <w:rPr>
                <w:rFonts w:hint="eastAsia" w:ascii="仿宋_GB2312" w:hAnsi="仿宋" w:eastAsia="仿宋_GB2312"/>
                <w:sz w:val="24"/>
                <w:szCs w:val="24"/>
              </w:rPr>
            </w:pPr>
            <w:r>
              <w:rPr>
                <w:rFonts w:hint="eastAsia" w:ascii="仿宋_GB2312" w:hAnsi="仿宋" w:eastAsia="仿宋_GB2312"/>
                <w:sz w:val="24"/>
                <w:szCs w:val="24"/>
                <w:lang w:val="en-US" w:eastAsia="zh-CN"/>
              </w:rPr>
              <w:t>3、</w:t>
            </w:r>
            <w:r>
              <w:rPr>
                <w:rFonts w:hint="eastAsia" w:ascii="仿宋_GB2312" w:hAnsi="仿宋" w:eastAsia="仿宋_GB2312"/>
                <w:sz w:val="24"/>
                <w:szCs w:val="24"/>
                <w:lang w:eastAsia="zh-CN"/>
              </w:rPr>
              <w:t>提供环保专项施工方案的，得</w:t>
            </w:r>
            <w:r>
              <w:rPr>
                <w:rFonts w:hint="eastAsia" w:ascii="仿宋_GB2312" w:hAnsi="仿宋" w:eastAsia="仿宋_GB2312"/>
                <w:sz w:val="24"/>
                <w:szCs w:val="24"/>
                <w:lang w:val="en-US" w:eastAsia="zh-CN"/>
              </w:rPr>
              <w:t>1分</w:t>
            </w:r>
            <w:r>
              <w:rPr>
                <w:rFonts w:hint="eastAsia" w:ascii="仿宋_GB2312" w:hAnsi="仿宋" w:eastAsia="仿宋_GB2312"/>
                <w:sz w:val="24"/>
                <w:szCs w:val="24"/>
              </w:rPr>
              <w:t>；</w:t>
            </w:r>
          </w:p>
          <w:p>
            <w:pPr>
              <w:wordWrap w:val="0"/>
              <w:autoSpaceDE w:val="0"/>
              <w:autoSpaceDN w:val="0"/>
              <w:snapToGrid w:val="0"/>
              <w:spacing w:line="360" w:lineRule="exact"/>
              <w:rPr>
                <w:rFonts w:hint="eastAsia"/>
                <w:lang w:val="zh-CN" w:eastAsia="zh-CN"/>
              </w:rPr>
            </w:pPr>
            <w:r>
              <w:rPr>
                <w:rFonts w:hint="eastAsia" w:ascii="仿宋_GB2312" w:hAnsi="仿宋" w:eastAsia="仿宋_GB2312"/>
                <w:sz w:val="24"/>
                <w:szCs w:val="24"/>
                <w:lang w:eastAsia="zh-CN"/>
              </w:rPr>
              <w:t>环保专项施工方案合理、有效的，</w:t>
            </w:r>
            <w:r>
              <w:rPr>
                <w:rFonts w:hint="eastAsia" w:ascii="仿宋_GB2312" w:hAnsi="仿宋" w:eastAsia="仿宋_GB2312"/>
                <w:sz w:val="24"/>
                <w:szCs w:val="24"/>
              </w:rPr>
              <w:t>评委根据</w:t>
            </w:r>
            <w:r>
              <w:rPr>
                <w:rFonts w:hint="eastAsia" w:ascii="仿宋_GB2312" w:hAnsi="仿宋" w:eastAsia="仿宋_GB2312"/>
                <w:sz w:val="24"/>
                <w:szCs w:val="24"/>
                <w:lang w:eastAsia="zh-CN"/>
              </w:rPr>
              <w:t>文件</w:t>
            </w:r>
            <w:r>
              <w:rPr>
                <w:rFonts w:hint="eastAsia" w:ascii="仿宋_GB2312" w:hAnsi="仿宋" w:eastAsia="仿宋_GB2312"/>
                <w:sz w:val="24"/>
                <w:szCs w:val="24"/>
              </w:rPr>
              <w:t>情况酌情得0-</w:t>
            </w:r>
            <w:r>
              <w:rPr>
                <w:rFonts w:hint="eastAsia" w:ascii="仿宋_GB2312" w:hAnsi="仿宋" w:eastAsia="仿宋_GB2312"/>
                <w:sz w:val="24"/>
                <w:szCs w:val="24"/>
                <w:lang w:val="en-US" w:eastAsia="zh-CN"/>
              </w:rPr>
              <w:t>1</w:t>
            </w:r>
            <w:r>
              <w:rPr>
                <w:rFonts w:hint="eastAsia" w:ascii="仿宋_GB2312" w:hAnsi="仿宋" w:eastAsia="仿宋_GB2312"/>
                <w:sz w:val="24"/>
                <w:szCs w:val="24"/>
              </w:rPr>
              <w:t>分</w:t>
            </w:r>
            <w:r>
              <w:rPr>
                <w:rFonts w:hint="eastAsia" w:ascii="仿宋_GB2312" w:hAnsi="仿宋" w:eastAsia="仿宋_GB2312"/>
                <w:sz w:val="24"/>
                <w:szCs w:val="24"/>
                <w:lang w:eastAsia="zh-CN"/>
              </w:rPr>
              <w:t>。若此条缺项不得分；</w:t>
            </w:r>
          </w:p>
        </w:tc>
      </w:tr>
      <w:tr>
        <w:tblPrEx>
          <w:tblCellMar>
            <w:top w:w="0" w:type="dxa"/>
            <w:left w:w="108" w:type="dxa"/>
            <w:bottom w:w="0" w:type="dxa"/>
            <w:right w:w="108" w:type="dxa"/>
          </w:tblCellMar>
        </w:tblPrEx>
        <w:trPr>
          <w:trHeight w:val="1177" w:hRule="atLeast"/>
        </w:trPr>
        <w:tc>
          <w:tcPr>
            <w:tcW w:w="489" w:type="dxa"/>
            <w:vMerge w:val="continue"/>
            <w:tcBorders>
              <w:left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p>
        </w:tc>
        <w:tc>
          <w:tcPr>
            <w:tcW w:w="85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lang w:val="zh-CN" w:eastAsia="zh-CN"/>
              </w:rPr>
              <w:t>施工总进度计划及保证措施</w:t>
            </w:r>
          </w:p>
        </w:tc>
        <w:tc>
          <w:tcPr>
            <w:tcW w:w="850"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3</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360" w:lineRule="exact"/>
              <w:rPr>
                <w:rFonts w:hint="eastAsia" w:ascii="仿宋_GB2312" w:hAnsi="宋体" w:eastAsia="仿宋_GB2312"/>
                <w:sz w:val="24"/>
                <w:szCs w:val="24"/>
                <w:lang w:val="en-US" w:eastAsia="zh-CN"/>
              </w:rPr>
            </w:pPr>
            <w:r>
              <w:rPr>
                <w:rFonts w:hint="eastAsia" w:ascii="仿宋_GB2312" w:hAnsi="宋体" w:eastAsia="仿宋_GB2312"/>
                <w:sz w:val="24"/>
                <w:szCs w:val="24"/>
                <w:lang w:eastAsia="zh-CN"/>
              </w:rPr>
              <w:t>提供</w:t>
            </w:r>
            <w:r>
              <w:rPr>
                <w:rFonts w:hint="eastAsia" w:ascii="仿宋_GB2312" w:hAnsi="宋体" w:eastAsia="仿宋_GB2312"/>
                <w:sz w:val="24"/>
                <w:szCs w:val="24"/>
                <w:lang w:val="zh-CN" w:eastAsia="zh-CN"/>
              </w:rPr>
              <w:t>施工总进度计划及保障措施的，</w:t>
            </w:r>
            <w:r>
              <w:rPr>
                <w:rFonts w:hint="eastAsia" w:ascii="仿宋_GB2312" w:hAnsi="宋体" w:eastAsia="仿宋_GB2312"/>
                <w:sz w:val="24"/>
                <w:szCs w:val="24"/>
                <w:lang w:eastAsia="zh-CN"/>
              </w:rPr>
              <w:t>得</w:t>
            </w:r>
            <w:r>
              <w:rPr>
                <w:rFonts w:hint="eastAsia" w:ascii="仿宋_GB2312" w:hAnsi="宋体" w:eastAsia="仿宋_GB2312"/>
                <w:sz w:val="24"/>
                <w:szCs w:val="24"/>
                <w:lang w:val="en-US" w:eastAsia="zh-CN"/>
              </w:rPr>
              <w:t>1分；</w:t>
            </w:r>
          </w:p>
          <w:p>
            <w:pPr>
              <w:autoSpaceDE w:val="0"/>
              <w:autoSpaceDN w:val="0"/>
              <w:snapToGrid w:val="0"/>
              <w:spacing w:line="360" w:lineRule="exact"/>
              <w:rPr>
                <w:rFonts w:hint="eastAsia" w:ascii="仿宋_GB2312" w:hAnsi="宋体" w:eastAsia="仿宋_GB2312"/>
                <w:sz w:val="24"/>
                <w:szCs w:val="24"/>
                <w:lang w:eastAsia="zh-CN"/>
              </w:rPr>
            </w:pPr>
            <w:r>
              <w:rPr>
                <w:rFonts w:hint="eastAsia" w:ascii="仿宋_GB2312" w:hAnsi="宋体" w:eastAsia="仿宋_GB2312"/>
                <w:sz w:val="24"/>
                <w:szCs w:val="24"/>
                <w:lang w:val="zh-CN" w:eastAsia="zh-CN"/>
              </w:rPr>
              <w:t>施工总进度计划</w:t>
            </w:r>
            <w:r>
              <w:rPr>
                <w:rFonts w:hint="eastAsia" w:ascii="仿宋_GB2312" w:hAnsi="宋体" w:eastAsia="仿宋_GB2312"/>
                <w:sz w:val="24"/>
                <w:szCs w:val="24"/>
                <w:lang w:eastAsia="zh-CN"/>
              </w:rPr>
              <w:t>及保障措施详尽、可行的，评委根据文件情况酌情得0-</w:t>
            </w:r>
            <w:r>
              <w:rPr>
                <w:rFonts w:hint="eastAsia" w:ascii="仿宋_GB2312" w:hAnsi="宋体" w:eastAsia="仿宋_GB2312"/>
                <w:sz w:val="24"/>
                <w:szCs w:val="24"/>
                <w:lang w:val="en-US" w:eastAsia="zh-CN"/>
              </w:rPr>
              <w:t>2</w:t>
            </w:r>
            <w:r>
              <w:rPr>
                <w:rFonts w:hint="eastAsia" w:ascii="仿宋_GB2312" w:hAnsi="宋体" w:eastAsia="仿宋_GB2312"/>
                <w:sz w:val="24"/>
                <w:szCs w:val="24"/>
                <w:lang w:eastAsia="zh-CN"/>
              </w:rPr>
              <w:t>分；</w:t>
            </w:r>
          </w:p>
          <w:p>
            <w:pPr>
              <w:autoSpaceDE w:val="0"/>
              <w:autoSpaceDN w:val="0"/>
              <w:snapToGrid w:val="0"/>
              <w:spacing w:line="360" w:lineRule="exact"/>
            </w:pPr>
            <w:r>
              <w:rPr>
                <w:rFonts w:hint="eastAsia" w:ascii="仿宋_GB2312" w:hAnsi="宋体" w:eastAsia="仿宋_GB2312"/>
                <w:sz w:val="24"/>
                <w:szCs w:val="24"/>
                <w:lang w:eastAsia="zh-CN"/>
              </w:rPr>
              <w:t>若此条缺项不得分。</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五、中标人的确定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六、评标纪律</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10"/>
          <w:sz w:val="32"/>
          <w:szCs w:val="32"/>
        </w:rPr>
        <w:t>评标是招标工作的重要环节，评标工作在评标委员会内独立进行。评标</w:t>
      </w:r>
      <w:r>
        <w:rPr>
          <w:rFonts w:hint="eastAsia" w:ascii="仿宋_GB2312" w:hAnsi="Times New Roman" w:eastAsia="仿宋_GB2312" w:cs="Times New Roman"/>
          <w:spacing w:val="-4"/>
          <w:sz w:val="32"/>
          <w:szCs w:val="32"/>
        </w:rPr>
        <w:t>委员会将按照评标原则的要求，公正、平等地对待所有供应商。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（二）所有评标人员应忠于职守、廉洁自律、秉公办事、不徇私情。</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（三）</w:t>
      </w:r>
      <w:r>
        <w:rPr>
          <w:rFonts w:hint="eastAsia" w:ascii="仿宋_GB2312" w:hAnsi="Times New Roman" w:eastAsia="仿宋_GB2312" w:cs="Times New Roman"/>
          <w:spacing w:val="-10"/>
          <w:sz w:val="32"/>
          <w:szCs w:val="32"/>
        </w:rPr>
        <w:t>评标人员不得接受或参加供应商或与投标有关的单位、组织或个人的有</w:t>
      </w:r>
      <w:r>
        <w:rPr>
          <w:rFonts w:hint="eastAsia" w:ascii="仿宋_GB2312" w:hAnsi="Times New Roman" w:eastAsia="仿宋_GB2312" w:cs="Times New Roman"/>
          <w:spacing w:val="-4"/>
          <w:sz w:val="32"/>
          <w:szCs w:val="32"/>
        </w:rPr>
        <w:t>碍公务的宴请、娱乐活动等，不得以任何形式弄虚作假。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（四）评标期间，评委不得随意与外界通讯、会客等。</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（五）</w:t>
      </w:r>
      <w:r>
        <w:rPr>
          <w:rFonts w:hint="eastAsia" w:ascii="仿宋_GB2312" w:hAnsi="Times New Roman" w:eastAsia="仿宋_GB2312" w:cs="Times New Roman"/>
          <w:spacing w:val="-11"/>
          <w:sz w:val="32"/>
          <w:szCs w:val="32"/>
        </w:rPr>
        <w:t>在投标文件的审查、澄清、评价和比较以及授予合同的过程中，供应商</w:t>
      </w:r>
      <w:r>
        <w:rPr>
          <w:rFonts w:hint="eastAsia" w:ascii="仿宋_GB2312" w:hAnsi="Times New Roman" w:eastAsia="仿宋_GB2312" w:cs="Times New Roman"/>
          <w:spacing w:val="-5"/>
          <w:sz w:val="32"/>
          <w:szCs w:val="32"/>
        </w:rPr>
        <w:t>对采购人及评标委员会其他成员施加影响的任何行为，都将导致被取消投标资格。</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（六）</w:t>
      </w:r>
      <w:r>
        <w:rPr>
          <w:rFonts w:hint="eastAsia" w:ascii="仿宋_GB2312" w:hAnsi="Times New Roman" w:eastAsia="仿宋_GB2312" w:cs="Times New Roman"/>
          <w:spacing w:val="-12"/>
          <w:sz w:val="32"/>
          <w:szCs w:val="32"/>
        </w:rPr>
        <w:t>为保证定标的公正性，在评标过程中，评委不得与供应商或招标结果有</w:t>
      </w:r>
      <w:r>
        <w:rPr>
          <w:rFonts w:hint="eastAsia" w:ascii="仿宋_GB2312" w:hAnsi="Times New Roman" w:eastAsia="仿宋_GB2312" w:cs="Times New Roman"/>
          <w:spacing w:val="-5"/>
          <w:sz w:val="32"/>
          <w:szCs w:val="32"/>
        </w:rPr>
        <w:t>利害关系的人进行私下接触。在评标工作结束后，凡与评标情况有接触的任何</w:t>
      </w:r>
      <w:r>
        <w:rPr>
          <w:rFonts w:hint="eastAsia" w:ascii="仿宋_GB2312" w:hAnsi="Times New Roman" w:eastAsia="仿宋_GB2312" w:cs="Times New Roman"/>
          <w:spacing w:val="-3"/>
          <w:sz w:val="32"/>
          <w:szCs w:val="32"/>
        </w:rPr>
        <w:t>人，不得将评标情况扩散出评标委员会以外。</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（七）</w:t>
      </w:r>
      <w:r>
        <w:rPr>
          <w:rFonts w:hint="eastAsia" w:ascii="仿宋_GB2312" w:hAnsi="Times New Roman" w:eastAsia="仿宋_GB2312" w:cs="Times New Roman"/>
          <w:spacing w:val="-11"/>
          <w:sz w:val="32"/>
          <w:szCs w:val="32"/>
        </w:rPr>
        <w:t>评标结束后，各评标人员应将全部资料整理上交采购人，严禁将评标过</w:t>
      </w:r>
      <w:r>
        <w:rPr>
          <w:rFonts w:hint="eastAsia" w:ascii="仿宋_GB2312" w:hAnsi="Times New Roman" w:eastAsia="仿宋_GB2312" w:cs="Times New Roman"/>
          <w:spacing w:val="-5"/>
          <w:sz w:val="32"/>
          <w:szCs w:val="32"/>
        </w:rPr>
        <w:t>程中的任何资料带出评标现场向供应商或其他单位提供。</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（八）评标委员会对各供应商的商业秘密予以保密。</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（九）</w:t>
      </w:r>
      <w:r>
        <w:rPr>
          <w:rFonts w:hint="eastAsia" w:ascii="仿宋_GB2312" w:hAnsi="Times New Roman" w:eastAsia="仿宋_GB2312" w:cs="Times New Roman"/>
          <w:spacing w:val="-10"/>
          <w:sz w:val="32"/>
          <w:szCs w:val="32"/>
        </w:rPr>
        <w:t>评标委员会成员应当客观、公正地履行职责，遵守职业道德，对所提出</w:t>
      </w:r>
      <w:r>
        <w:rPr>
          <w:rFonts w:hint="eastAsia" w:ascii="仿宋_GB2312" w:hAnsi="Times New Roman" w:eastAsia="仿宋_GB2312" w:cs="Times New Roman"/>
          <w:spacing w:val="-4"/>
          <w:sz w:val="32"/>
          <w:szCs w:val="32"/>
        </w:rPr>
        <w:t>的评审意见承担个人责任。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（十）在整个评标过程中，供应商企图影响招标结果的任何活动，可能导致投标失败。如有违法行为，将依法追究其法律责任。</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七、中标通知书</w:t>
      </w:r>
    </w:p>
    <w:p>
      <w:pPr>
        <w:ind w:firstLine="572" w:firstLineChars="200"/>
        <w:rPr>
          <w:rFonts w:hint="eastAsia" w:ascii="仿宋_GB2312" w:hAnsi="Times New Roman" w:eastAsia="仿宋_GB2312" w:cs="Times New Roman"/>
          <w:spacing w:val="-17"/>
          <w:sz w:val="32"/>
          <w:szCs w:val="32"/>
        </w:rPr>
      </w:pPr>
      <w:r>
        <w:rPr>
          <w:rFonts w:hint="eastAsia" w:ascii="仿宋_GB2312" w:hAnsi="Times New Roman" w:eastAsia="仿宋_GB2312" w:cs="Times New Roman"/>
          <w:spacing w:val="-17"/>
          <w:sz w:val="32"/>
          <w:szCs w:val="32"/>
        </w:rPr>
        <w:t>评标结束并确定中标结果后，向中标人签发《中标通知书》。</w:t>
      </w:r>
      <w:bookmarkStart w:id="7" w:name="第五部分___授予合同"/>
      <w:bookmarkEnd w:id="7"/>
      <w:bookmarkStart w:id="8" w:name="_bookmark4"/>
      <w:bookmarkEnd w:id="8"/>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ind w:left="0" w:leftChars="0" w:firstLine="0" w:firstLineChars="0"/>
        <w:rPr>
          <w:rFonts w:hint="eastAsia" w:ascii="仿宋_GB2312" w:hAnsi="Times New Roman" w:eastAsia="仿宋_GB2312" w:cs="Times New Roman"/>
          <w:spacing w:val="-17"/>
          <w:sz w:val="32"/>
          <w:szCs w:val="32"/>
        </w:rPr>
      </w:pPr>
    </w:p>
    <w:p>
      <w:pPr>
        <w:autoSpaceDE w:val="0"/>
        <w:autoSpaceDN w:val="0"/>
        <w:spacing w:line="640" w:lineRule="exact"/>
        <w:rPr>
          <w:rFonts w:hint="default" w:ascii="仿宋_GB2312" w:hAnsi="仿宋" w:eastAsia="仿宋_GB2312" w:cstheme="minorBidi"/>
          <w:spacing w:val="0"/>
          <w:sz w:val="24"/>
          <w:szCs w:val="22"/>
          <w:lang w:val="zh-CN"/>
        </w:rPr>
      </w:pPr>
      <w:r>
        <w:rPr>
          <w:rFonts w:hint="default" w:ascii="仿宋_GB2312" w:hAnsi="仿宋" w:eastAsia="仿宋_GB2312" w:cstheme="minorBidi"/>
          <w:sz w:val="24"/>
          <w:szCs w:val="22"/>
          <w:lang w:val="zh-CN" w:eastAsia="zh-CN"/>
        </w:rPr>
        <w:t>附表</w:t>
      </w:r>
      <w:r>
        <w:rPr>
          <w:rFonts w:hint="eastAsia" w:ascii="仿宋_GB2312" w:hAnsi="仿宋" w:eastAsia="仿宋_GB2312" w:cstheme="minorBidi"/>
          <w:sz w:val="24"/>
          <w:szCs w:val="22"/>
          <w:lang w:val="zh-CN" w:eastAsia="zh-CN"/>
        </w:rPr>
        <w:t>一</w:t>
      </w:r>
      <w:r>
        <w:rPr>
          <w:rFonts w:hint="default" w:ascii="仿宋_GB2312" w:hAnsi="仿宋" w:eastAsia="仿宋_GB2312" w:cstheme="minorBidi"/>
          <w:sz w:val="24"/>
          <w:szCs w:val="22"/>
          <w:lang w:val="zh-CN" w:eastAsia="zh-CN"/>
        </w:rPr>
        <w:t>：报价单</w:t>
      </w:r>
    </w:p>
    <w:tbl>
      <w:tblPr>
        <w:tblStyle w:val="9"/>
        <w:tblpPr w:leftFromText="180" w:rightFromText="180" w:vertAnchor="text" w:horzAnchor="page" w:tblpX="1718" w:tblpY="352"/>
        <w:tblOverlap w:val="never"/>
        <w:tblW w:w="7940" w:type="dxa"/>
        <w:tblInd w:w="0" w:type="dxa"/>
        <w:shd w:val="clear" w:color="auto" w:fill="auto"/>
        <w:tblLayout w:type="fixed"/>
        <w:tblCellMar>
          <w:top w:w="0" w:type="dxa"/>
          <w:left w:w="108" w:type="dxa"/>
          <w:bottom w:w="0" w:type="dxa"/>
          <w:right w:w="108" w:type="dxa"/>
        </w:tblCellMar>
      </w:tblPr>
      <w:tblGrid>
        <w:gridCol w:w="716"/>
        <w:gridCol w:w="1140"/>
        <w:gridCol w:w="539"/>
        <w:gridCol w:w="1551"/>
        <w:gridCol w:w="1779"/>
        <w:gridCol w:w="2215"/>
      </w:tblGrid>
      <w:tr>
        <w:tblPrEx>
          <w:shd w:val="clear" w:color="auto" w:fill="auto"/>
          <w:tblCellMar>
            <w:top w:w="0" w:type="dxa"/>
            <w:left w:w="108" w:type="dxa"/>
            <w:bottom w:w="0" w:type="dxa"/>
            <w:right w:w="108" w:type="dxa"/>
          </w:tblCellMar>
        </w:tblPrEx>
        <w:trPr>
          <w:trHeight w:val="474" w:hRule="atLeast"/>
        </w:trPr>
        <w:tc>
          <w:tcPr>
            <w:tcW w:w="7940" w:type="dxa"/>
            <w:gridSpan w:val="6"/>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山东</w:t>
            </w:r>
            <w:r>
              <w:rPr>
                <w:rFonts w:hint="eastAsia" w:ascii="仿宋_GB2312" w:hAnsi="仿宋_GB2312" w:eastAsia="仿宋_GB2312" w:cs="仿宋_GB2312"/>
                <w:b/>
                <w:bCs/>
                <w:sz w:val="36"/>
                <w:szCs w:val="36"/>
                <w:lang w:val="zh-CN" w:eastAsia="zh-CN"/>
              </w:rPr>
              <w:t>岱岳制盐</w:t>
            </w:r>
            <w:r>
              <w:rPr>
                <w:rFonts w:hint="eastAsia" w:ascii="仿宋_GB2312" w:hAnsi="仿宋_GB2312" w:eastAsia="仿宋_GB2312" w:cs="仿宋_GB2312"/>
                <w:b/>
                <w:bCs/>
                <w:sz w:val="36"/>
                <w:szCs w:val="36"/>
                <w:lang w:val="zh-CN"/>
              </w:rPr>
              <w:t>有限公司</w:t>
            </w:r>
          </w:p>
          <w:p>
            <w:pPr>
              <w:keepNext w:val="0"/>
              <w:keepLines w:val="0"/>
              <w:widowControl/>
              <w:suppressLineNumbers w:val="0"/>
              <w:jc w:val="center"/>
              <w:textAlignment w:val="center"/>
              <w:rPr>
                <w:rFonts w:hint="eastAsia" w:ascii="方正小标宋简体" w:hAnsi="宋体" w:eastAsia="方正小标宋简体"/>
                <w:sz w:val="44"/>
                <w:szCs w:val="44"/>
                <w:lang w:eastAsia="zh-CN"/>
              </w:rPr>
            </w:pPr>
            <w:r>
              <w:rPr>
                <w:rFonts w:hint="eastAsia" w:ascii="仿宋_GB2312" w:hAnsi="仿宋_GB2312" w:eastAsia="仿宋_GB2312" w:cs="仿宋_GB2312"/>
                <w:sz w:val="30"/>
                <w:szCs w:val="30"/>
                <w:lang w:val="zh-CN" w:eastAsia="zh-CN"/>
              </w:rPr>
              <w:t>分装车间自动装车设备遮雨棚建设</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6"/>
                <w:szCs w:val="36"/>
                <w:u w:val="none"/>
              </w:rPr>
            </w:pPr>
            <w:r>
              <w:rPr>
                <w:rFonts w:hint="eastAsia" w:ascii="仿宋_GB2312" w:hAnsi="仿宋_GB2312" w:eastAsia="仿宋_GB2312" w:cs="仿宋_GB2312"/>
                <w:sz w:val="30"/>
                <w:szCs w:val="30"/>
                <w:lang w:val="zh-CN"/>
              </w:rPr>
              <w:t>报价单</w:t>
            </w:r>
          </w:p>
        </w:tc>
      </w:tr>
      <w:tr>
        <w:tblPrEx>
          <w:shd w:val="clear" w:color="auto" w:fill="auto"/>
          <w:tblCellMar>
            <w:top w:w="0" w:type="dxa"/>
            <w:left w:w="108" w:type="dxa"/>
            <w:bottom w:w="0" w:type="dxa"/>
            <w:right w:w="108" w:type="dxa"/>
          </w:tblCellMar>
        </w:tblPrEx>
        <w:trPr>
          <w:trHeight w:val="504" w:hRule="atLeast"/>
        </w:trPr>
        <w:tc>
          <w:tcPr>
            <w:tcW w:w="7940" w:type="dxa"/>
            <w:gridSpan w:val="6"/>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7940" w:type="dxa"/>
            <w:gridSpan w:val="6"/>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报价单位：</w:t>
            </w:r>
          </w:p>
        </w:tc>
        <w:tc>
          <w:tcPr>
            <w:tcW w:w="6084" w:type="dxa"/>
            <w:gridSpan w:val="4"/>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p>
        </w:tc>
        <w:tc>
          <w:tcPr>
            <w:tcW w:w="6084" w:type="dxa"/>
            <w:gridSpan w:val="4"/>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项目名称：</w:t>
            </w:r>
          </w:p>
        </w:tc>
        <w:tc>
          <w:tcPr>
            <w:tcW w:w="608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sz w:val="30"/>
                <w:szCs w:val="30"/>
                <w:lang w:val="zh-CN" w:eastAsia="zh-CN"/>
              </w:rPr>
              <w:t>分装车间自动装车设备遮雨棚建设</w:t>
            </w:r>
          </w:p>
        </w:tc>
      </w:tr>
      <w:tr>
        <w:tblPrEx>
          <w:tblCellMar>
            <w:top w:w="0" w:type="dxa"/>
            <w:left w:w="108" w:type="dxa"/>
            <w:bottom w:w="0" w:type="dxa"/>
            <w:right w:w="108" w:type="dxa"/>
          </w:tblCellMar>
        </w:tblPrEx>
        <w:trPr>
          <w:trHeight w:val="504" w:hRule="atLeast"/>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c>
          <w:tcPr>
            <w:tcW w:w="608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tblCellMar>
            <w:top w:w="0" w:type="dxa"/>
            <w:left w:w="108" w:type="dxa"/>
            <w:bottom w:w="0" w:type="dxa"/>
            <w:right w:w="108" w:type="dxa"/>
          </w:tblCellMar>
        </w:tblPrEx>
        <w:trPr>
          <w:trHeight w:val="504" w:hRule="atLeast"/>
        </w:trPr>
        <w:tc>
          <w:tcPr>
            <w:tcW w:w="794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w:t>
            </w:r>
            <w:r>
              <w:rPr>
                <w:rFonts w:hint="eastAsia" w:ascii="仿宋_GB2312" w:hAnsi="仿宋_GB2312" w:eastAsia="仿宋_GB2312" w:cs="仿宋_GB2312"/>
                <w:i w:val="0"/>
                <w:iCs w:val="0"/>
                <w:color w:val="000000"/>
                <w:kern w:val="0"/>
                <w:sz w:val="30"/>
                <w:szCs w:val="30"/>
                <w:u w:val="none"/>
                <w:lang w:val="en-US" w:eastAsia="zh-CN" w:bidi="ar"/>
              </w:rPr>
              <w:t>报价内容</w:t>
            </w:r>
          </w:p>
        </w:tc>
      </w:tr>
      <w:tr>
        <w:tblPrEx>
          <w:tblCellMar>
            <w:top w:w="0" w:type="dxa"/>
            <w:left w:w="108" w:type="dxa"/>
            <w:bottom w:w="0" w:type="dxa"/>
            <w:right w:w="108" w:type="dxa"/>
          </w:tblCellMar>
        </w:tblPrEx>
        <w:trPr>
          <w:trHeight w:val="504" w:hRule="atLeast"/>
        </w:trPr>
        <w:tc>
          <w:tcPr>
            <w:tcW w:w="794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tblCellMar>
            <w:top w:w="0" w:type="dxa"/>
            <w:left w:w="108" w:type="dxa"/>
            <w:bottom w:w="0" w:type="dxa"/>
            <w:right w:w="108" w:type="dxa"/>
          </w:tblCellMar>
        </w:tblPrEx>
        <w:trPr>
          <w:trHeight w:val="57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1679" w:type="dxa"/>
            <w:gridSpan w:val="2"/>
            <w:tcBorders>
              <w:top w:val="single" w:color="000000" w:sz="4" w:space="0"/>
              <w:left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报价项目</w:t>
            </w:r>
          </w:p>
        </w:tc>
        <w:tc>
          <w:tcPr>
            <w:tcW w:w="1551" w:type="dxa"/>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数量（单位）</w:t>
            </w:r>
          </w:p>
        </w:tc>
        <w:tc>
          <w:tcPr>
            <w:tcW w:w="1779"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报价合计（元）</w:t>
            </w:r>
          </w:p>
        </w:tc>
        <w:tc>
          <w:tcPr>
            <w:tcW w:w="2215"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1321"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679"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eastAsia="zh-CN" w:bidi="ar"/>
              </w:rPr>
              <w:t>遮雨棚建设</w:t>
            </w:r>
          </w:p>
        </w:tc>
        <w:tc>
          <w:tcPr>
            <w:tcW w:w="155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1宗</w:t>
            </w:r>
          </w:p>
        </w:tc>
        <w:tc>
          <w:tcPr>
            <w:tcW w:w="1779"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215"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621"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7224" w:type="dxa"/>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费用总计（元）：</w:t>
            </w:r>
          </w:p>
        </w:tc>
      </w:tr>
    </w:tbl>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ind w:left="0" w:leftChars="0" w:firstLine="0" w:firstLineChars="0"/>
        <w:rPr>
          <w:rFonts w:hint="eastAsia" w:ascii="仿宋_GB2312" w:hAnsi="Times New Roman" w:eastAsia="仿宋_GB2312" w:cs="Times New Roman"/>
          <w:spacing w:val="-17"/>
          <w:sz w:val="32"/>
          <w:szCs w:val="32"/>
          <w:lang w:val="en-US" w:eastAsia="zh-CN"/>
        </w:rPr>
      </w:pPr>
    </w:p>
    <w:p>
      <w:pPr>
        <w:pStyle w:val="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报价单位（公章）：</w:t>
      </w:r>
    </w:p>
    <w:p>
      <w:pPr>
        <w:pStyle w:val="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2"/>
        <w:ind w:left="0" w:leftChars="0" w:firstLine="6006" w:firstLineChars="21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年   月   日</w:t>
      </w:r>
    </w:p>
    <w:p>
      <w:pPr>
        <w:pStyle w:val="2"/>
        <w:ind w:left="0" w:leftChars="0" w:firstLine="6006" w:firstLineChars="2100"/>
        <w:rPr>
          <w:rFonts w:hint="eastAsia" w:ascii="仿宋_GB2312" w:hAnsi="Times New Roman" w:eastAsia="仿宋_GB2312" w:cs="Times New Roman"/>
          <w:spacing w:val="-17"/>
          <w:sz w:val="32"/>
          <w:szCs w:val="32"/>
          <w:lang w:val="en-US" w:eastAsia="zh-CN"/>
        </w:rPr>
      </w:pPr>
    </w:p>
    <w:p>
      <w:pPr>
        <w:pStyle w:val="2"/>
        <w:ind w:left="0" w:leftChars="0" w:firstLine="6006" w:firstLineChars="2100"/>
        <w:rPr>
          <w:rFonts w:hint="eastAsia" w:ascii="仿宋_GB2312" w:hAnsi="Times New Roman" w:eastAsia="仿宋_GB2312" w:cs="Times New Roman"/>
          <w:spacing w:val="-17"/>
          <w:sz w:val="32"/>
          <w:szCs w:val="32"/>
          <w:lang w:val="en-US" w:eastAsia="zh-CN"/>
        </w:rPr>
      </w:pPr>
    </w:p>
    <w:p>
      <w:pPr>
        <w:pStyle w:val="2"/>
        <w:ind w:left="0" w:leftChars="0" w:firstLine="6006" w:firstLineChars="2100"/>
        <w:rPr>
          <w:rFonts w:hint="eastAsia" w:ascii="仿宋_GB2312" w:hAnsi="Times New Roman" w:eastAsia="仿宋_GB2312" w:cs="Times New Roman"/>
          <w:spacing w:val="-17"/>
          <w:sz w:val="32"/>
          <w:szCs w:val="32"/>
          <w:lang w:val="en-US" w:eastAsia="zh-CN"/>
        </w:rPr>
      </w:pPr>
    </w:p>
    <w:p>
      <w:pPr>
        <w:autoSpaceDE w:val="0"/>
        <w:autoSpaceDN w:val="0"/>
        <w:spacing w:line="640" w:lineRule="exact"/>
        <w:rPr>
          <w:rFonts w:hint="default" w:ascii="仿宋_GB2312" w:hAnsi="仿宋" w:eastAsia="仿宋_GB2312" w:cstheme="minorBidi"/>
          <w:spacing w:val="0"/>
          <w:sz w:val="24"/>
          <w:szCs w:val="22"/>
          <w:lang w:val="zh-CN"/>
        </w:rPr>
      </w:pPr>
      <w:r>
        <w:rPr>
          <w:rFonts w:hint="default" w:ascii="仿宋_GB2312" w:hAnsi="仿宋" w:eastAsia="仿宋_GB2312" w:cstheme="minorBidi"/>
          <w:sz w:val="24"/>
          <w:szCs w:val="22"/>
          <w:lang w:val="zh-CN" w:eastAsia="zh-CN"/>
        </w:rPr>
        <w:t>附表二：报价单</w:t>
      </w:r>
    </w:p>
    <w:tbl>
      <w:tblPr>
        <w:tblStyle w:val="9"/>
        <w:tblpPr w:leftFromText="180" w:rightFromText="180" w:vertAnchor="text" w:horzAnchor="page" w:tblpX="1718" w:tblpY="352"/>
        <w:tblOverlap w:val="never"/>
        <w:tblW w:w="7940" w:type="dxa"/>
        <w:tblInd w:w="0" w:type="dxa"/>
        <w:shd w:val="clear" w:color="auto" w:fill="auto"/>
        <w:tblLayout w:type="fixed"/>
        <w:tblCellMar>
          <w:top w:w="0" w:type="dxa"/>
          <w:left w:w="108" w:type="dxa"/>
          <w:bottom w:w="0" w:type="dxa"/>
          <w:right w:w="108" w:type="dxa"/>
        </w:tblCellMar>
      </w:tblPr>
      <w:tblGrid>
        <w:gridCol w:w="716"/>
        <w:gridCol w:w="1140"/>
        <w:gridCol w:w="539"/>
        <w:gridCol w:w="1551"/>
        <w:gridCol w:w="1564"/>
        <w:gridCol w:w="1350"/>
        <w:gridCol w:w="1080"/>
      </w:tblGrid>
      <w:tr>
        <w:tblPrEx>
          <w:shd w:val="clear" w:color="auto" w:fill="auto"/>
          <w:tblCellMar>
            <w:top w:w="0" w:type="dxa"/>
            <w:left w:w="108" w:type="dxa"/>
            <w:bottom w:w="0" w:type="dxa"/>
            <w:right w:w="108" w:type="dxa"/>
          </w:tblCellMar>
        </w:tblPrEx>
        <w:trPr>
          <w:trHeight w:val="474" w:hRule="atLeast"/>
        </w:trPr>
        <w:tc>
          <w:tcPr>
            <w:tcW w:w="7940" w:type="dxa"/>
            <w:gridSpan w:val="7"/>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山东</w:t>
            </w:r>
            <w:r>
              <w:rPr>
                <w:rFonts w:hint="eastAsia" w:ascii="仿宋_GB2312" w:hAnsi="仿宋_GB2312" w:eastAsia="仿宋_GB2312" w:cs="仿宋_GB2312"/>
                <w:b/>
                <w:bCs/>
                <w:sz w:val="36"/>
                <w:szCs w:val="36"/>
                <w:lang w:val="zh-CN" w:eastAsia="zh-CN"/>
              </w:rPr>
              <w:t>岱岳制盐</w:t>
            </w:r>
            <w:r>
              <w:rPr>
                <w:rFonts w:hint="eastAsia" w:ascii="仿宋_GB2312" w:hAnsi="仿宋_GB2312" w:eastAsia="仿宋_GB2312" w:cs="仿宋_GB2312"/>
                <w:b/>
                <w:bCs/>
                <w:sz w:val="36"/>
                <w:szCs w:val="36"/>
                <w:lang w:val="zh-CN"/>
              </w:rPr>
              <w:t>有限公司</w:t>
            </w:r>
          </w:p>
          <w:p>
            <w:pPr>
              <w:keepNext w:val="0"/>
              <w:keepLines w:val="0"/>
              <w:widowControl/>
              <w:suppressLineNumbers w:val="0"/>
              <w:jc w:val="center"/>
              <w:textAlignment w:val="center"/>
              <w:rPr>
                <w:rFonts w:hint="eastAsia" w:ascii="方正小标宋简体" w:hAnsi="宋体" w:eastAsia="方正小标宋简体"/>
                <w:sz w:val="44"/>
                <w:szCs w:val="44"/>
                <w:lang w:eastAsia="zh-CN"/>
              </w:rPr>
            </w:pPr>
            <w:r>
              <w:rPr>
                <w:rFonts w:hint="eastAsia" w:ascii="仿宋_GB2312" w:hAnsi="仿宋_GB2312" w:eastAsia="仿宋_GB2312" w:cs="仿宋_GB2312"/>
                <w:sz w:val="30"/>
                <w:szCs w:val="30"/>
                <w:lang w:val="zh-CN" w:eastAsia="zh-CN"/>
              </w:rPr>
              <w:t>分装车间自动装车设备钢构基础二次浇筑项目</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6"/>
                <w:szCs w:val="36"/>
                <w:u w:val="none"/>
              </w:rPr>
            </w:pPr>
            <w:r>
              <w:rPr>
                <w:rFonts w:hint="eastAsia" w:ascii="仿宋_GB2312" w:hAnsi="仿宋_GB2312" w:eastAsia="仿宋_GB2312" w:cs="仿宋_GB2312"/>
                <w:sz w:val="30"/>
                <w:szCs w:val="30"/>
                <w:lang w:val="zh-CN"/>
              </w:rPr>
              <w:t>报价单</w:t>
            </w:r>
          </w:p>
        </w:tc>
      </w:tr>
      <w:tr>
        <w:tblPrEx>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tblCellMar>
            <w:top w:w="0" w:type="dxa"/>
            <w:left w:w="108" w:type="dxa"/>
            <w:bottom w:w="0" w:type="dxa"/>
            <w:right w:w="108" w:type="dxa"/>
          </w:tblCellMar>
        </w:tblPrEx>
        <w:trPr>
          <w:trHeight w:val="504" w:hRule="atLeast"/>
        </w:trPr>
        <w:tc>
          <w:tcPr>
            <w:tcW w:w="1856"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报价单位：</w:t>
            </w:r>
          </w:p>
        </w:tc>
        <w:tc>
          <w:tcPr>
            <w:tcW w:w="6084"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504" w:hRule="atLeast"/>
        </w:trPr>
        <w:tc>
          <w:tcPr>
            <w:tcW w:w="1856"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p>
        </w:tc>
        <w:tc>
          <w:tcPr>
            <w:tcW w:w="6084"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504" w:hRule="atLeast"/>
        </w:trPr>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项目名称：</w:t>
            </w:r>
          </w:p>
        </w:tc>
        <w:tc>
          <w:tcPr>
            <w:tcW w:w="608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sz w:val="30"/>
                <w:szCs w:val="30"/>
                <w:lang w:val="zh-CN" w:eastAsia="zh-CN"/>
              </w:rPr>
              <w:t>分装车间自动装车设备钢构基础二次浇筑项目</w:t>
            </w:r>
          </w:p>
        </w:tc>
      </w:tr>
      <w:tr>
        <w:tblPrEx>
          <w:tblCellMar>
            <w:top w:w="0" w:type="dxa"/>
            <w:left w:w="108" w:type="dxa"/>
            <w:bottom w:w="0" w:type="dxa"/>
            <w:right w:w="108" w:type="dxa"/>
          </w:tblCellMar>
        </w:tblPrEx>
        <w:trPr>
          <w:trHeight w:val="504" w:hRule="atLeast"/>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c>
          <w:tcPr>
            <w:tcW w:w="608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tblCellMar>
            <w:top w:w="0" w:type="dxa"/>
            <w:left w:w="108" w:type="dxa"/>
            <w:bottom w:w="0" w:type="dxa"/>
            <w:right w:w="108" w:type="dxa"/>
          </w:tblCellMar>
        </w:tblPrEx>
        <w:trPr>
          <w:trHeight w:val="504" w:hRule="atLeast"/>
        </w:trPr>
        <w:tc>
          <w:tcPr>
            <w:tcW w:w="79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w:t>
            </w:r>
            <w:r>
              <w:rPr>
                <w:rFonts w:hint="eastAsia" w:ascii="仿宋_GB2312" w:hAnsi="仿宋_GB2312" w:eastAsia="仿宋_GB2312" w:cs="仿宋_GB2312"/>
                <w:i w:val="0"/>
                <w:iCs w:val="0"/>
                <w:color w:val="000000"/>
                <w:kern w:val="0"/>
                <w:sz w:val="30"/>
                <w:szCs w:val="30"/>
                <w:u w:val="none"/>
                <w:lang w:val="en-US" w:eastAsia="zh-CN" w:bidi="ar"/>
              </w:rPr>
              <w:t>报价内容</w:t>
            </w:r>
          </w:p>
        </w:tc>
      </w:tr>
      <w:tr>
        <w:tblPrEx>
          <w:tblCellMar>
            <w:top w:w="0" w:type="dxa"/>
            <w:left w:w="108" w:type="dxa"/>
            <w:bottom w:w="0" w:type="dxa"/>
            <w:right w:w="108" w:type="dxa"/>
          </w:tblCellMar>
        </w:tblPrEx>
        <w:trPr>
          <w:trHeight w:val="504" w:hRule="atLeast"/>
        </w:trPr>
        <w:tc>
          <w:tcPr>
            <w:tcW w:w="79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tblCellMar>
            <w:top w:w="0" w:type="dxa"/>
            <w:left w:w="108" w:type="dxa"/>
            <w:bottom w:w="0" w:type="dxa"/>
            <w:right w:w="108" w:type="dxa"/>
          </w:tblCellMar>
        </w:tblPrEx>
        <w:trPr>
          <w:trHeight w:val="57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1679" w:type="dxa"/>
            <w:gridSpan w:val="2"/>
            <w:tcBorders>
              <w:top w:val="single" w:color="000000" w:sz="4" w:space="0"/>
              <w:left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报价项目</w:t>
            </w:r>
          </w:p>
        </w:tc>
        <w:tc>
          <w:tcPr>
            <w:tcW w:w="1551" w:type="dxa"/>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数量（单位）</w:t>
            </w:r>
          </w:p>
        </w:tc>
        <w:tc>
          <w:tcPr>
            <w:tcW w:w="1564"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单价（单位）</w:t>
            </w:r>
          </w:p>
        </w:tc>
        <w:tc>
          <w:tcPr>
            <w:tcW w:w="1350"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合计（元）</w:t>
            </w:r>
          </w:p>
        </w:tc>
        <w:tc>
          <w:tcPr>
            <w:tcW w:w="1080"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1321"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679"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eastAsia="zh-CN" w:bidi="ar"/>
              </w:rPr>
              <w:t>钢构基座二次浇筑</w:t>
            </w:r>
          </w:p>
        </w:tc>
        <w:tc>
          <w:tcPr>
            <w:tcW w:w="155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12件</w:t>
            </w:r>
          </w:p>
        </w:tc>
        <w:tc>
          <w:tcPr>
            <w:tcW w:w="1564"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350"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80"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1321"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679"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eastAsia="zh-CN" w:bidi="ar"/>
              </w:rPr>
              <w:t>轨道基座二次浇筑</w:t>
            </w:r>
          </w:p>
        </w:tc>
        <w:tc>
          <w:tcPr>
            <w:tcW w:w="155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2条</w:t>
            </w:r>
          </w:p>
        </w:tc>
        <w:tc>
          <w:tcPr>
            <w:tcW w:w="1564"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350"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80"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621"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7224"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费用总计（元）：</w:t>
            </w:r>
          </w:p>
        </w:tc>
      </w:tr>
    </w:tbl>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ind w:left="0" w:leftChars="0" w:firstLine="0" w:firstLineChars="0"/>
        <w:rPr>
          <w:rFonts w:hint="eastAsia" w:ascii="仿宋_GB2312" w:hAnsi="Times New Roman" w:eastAsia="仿宋_GB2312" w:cs="Times New Roman"/>
          <w:spacing w:val="-17"/>
          <w:sz w:val="32"/>
          <w:szCs w:val="32"/>
          <w:lang w:val="en-US" w:eastAsia="zh-CN"/>
        </w:rPr>
      </w:pPr>
    </w:p>
    <w:p>
      <w:pPr>
        <w:pStyle w:val="2"/>
        <w:ind w:left="3718" w:leftChars="0" w:hanging="3718" w:hangingChars="13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报价单位（公章）：</w:t>
      </w:r>
    </w:p>
    <w:p>
      <w:pPr>
        <w:pStyle w:val="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2"/>
        <w:ind w:left="0" w:leftChars="0" w:firstLine="6006" w:firstLineChars="21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年   月   日</w:t>
      </w:r>
    </w:p>
    <w:p>
      <w:pPr>
        <w:autoSpaceDE w:val="0"/>
        <w:autoSpaceDN w:val="0"/>
        <w:spacing w:line="640" w:lineRule="exact"/>
        <w:rPr>
          <w:rFonts w:ascii="仿宋_GB2312" w:hAnsi="仿宋" w:eastAsia="仿宋_GB2312"/>
          <w:sz w:val="24"/>
          <w:lang w:val="zh-CN"/>
        </w:rPr>
      </w:pPr>
    </w:p>
    <w:p>
      <w:pPr>
        <w:pStyle w:val="2"/>
        <w:rPr>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hint="eastAsia" w:ascii="黑体" w:hAnsi="Arial" w:eastAsia="黑体"/>
          <w:sz w:val="30"/>
          <w:szCs w:val="30"/>
          <w:lang w:val="zh-CN"/>
        </w:rPr>
        <w:t>商务</w:t>
      </w:r>
      <w:r>
        <w:rPr>
          <w:rFonts w:ascii="黑体" w:hAnsi="Arial" w:eastAsia="黑体"/>
          <w:sz w:val="30"/>
          <w:szCs w:val="30"/>
          <w:lang w:val="zh-CN"/>
        </w:rPr>
        <w:t>偏离表</w:t>
      </w:r>
    </w:p>
    <w:p>
      <w:pPr>
        <w:jc w:val="center"/>
        <w:rPr>
          <w:rFonts w:ascii="宋体" w:hAnsi="Arial"/>
          <w:sz w:val="28"/>
          <w:lang w:val="zh-CN"/>
        </w:rPr>
      </w:pPr>
    </w:p>
    <w:p>
      <w:pPr>
        <w:autoSpaceDE/>
        <w:autoSpaceDN/>
        <w:spacing w:after="0" w:line="0" w:lineRule="atLeast"/>
        <w:jc w:val="left"/>
        <w:rPr>
          <w:rFonts w:hint="eastAsia" w:ascii="仿宋_GB2312" w:hAnsi="仿宋" w:eastAsia="仿宋_GB2312"/>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分装车间自动装车设备遮雨棚建设及钢构基础二次浇筑项目</w:t>
      </w:r>
      <w:r>
        <w:rPr>
          <w:rFonts w:ascii="仿宋_GB2312" w:hAnsi="仿宋" w:eastAsia="仿宋_GB2312"/>
          <w:sz w:val="24"/>
          <w:u w:val="single"/>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290"/>
        <w:gridCol w:w="3291"/>
        <w:gridCol w:w="1719"/>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表四</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pPr>
        <w:jc w:val="center"/>
        <w:rPr>
          <w:rFonts w:ascii="宋体" w:hAnsi="Arial"/>
          <w:sz w:val="28"/>
          <w:lang w:val="zh-CN"/>
        </w:rPr>
      </w:pPr>
    </w:p>
    <w:p>
      <w:pPr>
        <w:autoSpaceDE w:val="0"/>
        <w:autoSpaceDN w:val="0"/>
        <w:spacing w:after="240"/>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分装车间自动装车设备遮雨棚建设及钢构基础二次浇筑项目</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079"/>
        <w:gridCol w:w="3079"/>
        <w:gridCol w:w="2100"/>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pStyle w:val="2"/>
        <w:rPr>
          <w:rFonts w:ascii="仿宋_GB2312" w:eastAsia="仿宋_GB2312"/>
          <w:sz w:val="24"/>
          <w:szCs w:val="24"/>
          <w:lang w:val="zh-CN"/>
        </w:rPr>
      </w:pPr>
    </w:p>
    <w:p>
      <w:pPr>
        <w:pStyle w:val="2"/>
        <w:rPr>
          <w:rFonts w:ascii="仿宋_GB2312" w:eastAsia="仿宋_GB2312"/>
          <w:sz w:val="24"/>
          <w:szCs w:val="24"/>
          <w:lang w:val="zh-CN"/>
        </w:rPr>
      </w:pPr>
    </w:p>
    <w:p>
      <w:pPr>
        <w:pStyle w:val="2"/>
        <w:rPr>
          <w:rFonts w:ascii="仿宋_GB2312" w:eastAsia="仿宋_GB2312"/>
          <w:sz w:val="24"/>
          <w:szCs w:val="24"/>
          <w:lang w:val="zh-CN"/>
        </w:rPr>
      </w:pPr>
    </w:p>
    <w:p>
      <w:pPr>
        <w:autoSpaceDE w:val="0"/>
        <w:autoSpaceDN w:val="0"/>
        <w:spacing w:line="640" w:lineRule="exact"/>
        <w:rPr>
          <w:rFonts w:hint="default" w:ascii="仿宋_GB2312" w:hAnsi="仿宋" w:eastAsia="仿宋_GB2312" w:cstheme="minorBidi"/>
          <w:b w:val="0"/>
          <w:bCs w:val="0"/>
          <w:kern w:val="2"/>
          <w:sz w:val="24"/>
          <w:szCs w:val="22"/>
          <w:lang w:val="zh-CN" w:eastAsia="zh-CN"/>
        </w:rPr>
      </w:pPr>
      <w:r>
        <w:rPr>
          <w:rFonts w:hint="default" w:ascii="仿宋_GB2312" w:hAnsi="仿宋" w:eastAsia="仿宋_GB2312" w:cstheme="minorBidi"/>
          <w:b w:val="0"/>
          <w:bCs w:val="0"/>
          <w:kern w:val="2"/>
          <w:sz w:val="24"/>
          <w:szCs w:val="22"/>
          <w:lang w:val="zh-CN"/>
        </w:rPr>
        <w:t>附表</w:t>
      </w:r>
      <w:r>
        <w:rPr>
          <w:rFonts w:hint="eastAsia" w:ascii="仿宋_GB2312" w:hAnsi="仿宋" w:eastAsia="仿宋_GB2312" w:cstheme="minorBidi"/>
          <w:b w:val="0"/>
          <w:bCs w:val="0"/>
          <w:kern w:val="2"/>
          <w:sz w:val="24"/>
          <w:szCs w:val="22"/>
          <w:lang w:val="zh-CN" w:eastAsia="zh-CN"/>
        </w:rPr>
        <w:t>五</w:t>
      </w:r>
      <w:r>
        <w:rPr>
          <w:rFonts w:hint="default" w:ascii="仿宋_GB2312" w:hAnsi="仿宋" w:eastAsia="仿宋_GB2312" w:cstheme="minorBidi"/>
          <w:b w:val="0"/>
          <w:bCs w:val="0"/>
          <w:kern w:val="2"/>
          <w:sz w:val="24"/>
          <w:szCs w:val="22"/>
          <w:lang w:val="zh-CN" w:eastAsia="zh-CN"/>
        </w:rPr>
        <w:t>；报名登记表</w:t>
      </w:r>
    </w:p>
    <w:p>
      <w:pPr>
        <w:autoSpaceDE w:val="0"/>
        <w:autoSpaceDN w:val="0"/>
        <w:spacing w:before="120" w:after="120" w:line="300" w:lineRule="auto"/>
        <w:jc w:val="center"/>
        <w:rPr>
          <w:rFonts w:ascii="黑体" w:hAnsi="Arial" w:eastAsia="黑体" w:cstheme="minorBidi"/>
          <w:kern w:val="2"/>
          <w:sz w:val="30"/>
          <w:szCs w:val="30"/>
          <w:lang w:val="zh-CN"/>
        </w:rPr>
      </w:pPr>
      <w:r>
        <w:rPr>
          <w:rFonts w:hint="default" w:ascii="黑体" w:hAnsi="Arial" w:eastAsia="黑体" w:cstheme="minorBidi"/>
          <w:b w:val="0"/>
          <w:bCs w:val="0"/>
          <w:kern w:val="2"/>
          <w:sz w:val="30"/>
          <w:szCs w:val="30"/>
          <w:lang w:val="zh-CN"/>
        </w:rPr>
        <w:t>报名登记表</w:t>
      </w:r>
    </w:p>
    <w:tbl>
      <w:tblPr>
        <w:tblStyle w:val="9"/>
        <w:tblW w:w="8363" w:type="dxa"/>
        <w:jc w:val="center"/>
        <w:tblLayout w:type="fixed"/>
        <w:tblCellMar>
          <w:top w:w="0" w:type="dxa"/>
          <w:left w:w="0" w:type="dxa"/>
          <w:bottom w:w="0" w:type="dxa"/>
          <w:right w:w="0" w:type="dxa"/>
        </w:tblCellMar>
      </w:tblPr>
      <w:tblGrid>
        <w:gridCol w:w="1927"/>
        <w:gridCol w:w="1466"/>
        <w:gridCol w:w="1200"/>
        <w:gridCol w:w="842"/>
        <w:gridCol w:w="1110"/>
        <w:gridCol w:w="1818"/>
      </w:tblGrid>
      <w:tr>
        <w:tblPrEx>
          <w:tblCellMar>
            <w:top w:w="0" w:type="dxa"/>
            <w:left w:w="0" w:type="dxa"/>
            <w:bottom w:w="0" w:type="dxa"/>
            <w:right w:w="0" w:type="dxa"/>
          </w:tblCellMar>
        </w:tblPrEx>
        <w:trPr>
          <w:trHeight w:val="559"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投标单位名称</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r>
      <w:tr>
        <w:tblPrEx>
          <w:tblCellMar>
            <w:top w:w="0" w:type="dxa"/>
            <w:left w:w="0" w:type="dxa"/>
            <w:bottom w:w="0" w:type="dxa"/>
            <w:right w:w="0" w:type="dxa"/>
          </w:tblCellMar>
        </w:tblPrEx>
        <w:trPr>
          <w:trHeight w:val="559"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注册资金</w:t>
            </w:r>
          </w:p>
        </w:tc>
        <w:tc>
          <w:tcPr>
            <w:tcW w:w="2042"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c>
          <w:tcPr>
            <w:tcW w:w="1110" w:type="dxa"/>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成立时间</w:t>
            </w:r>
          </w:p>
        </w:tc>
        <w:tc>
          <w:tcPr>
            <w:tcW w:w="1818" w:type="dxa"/>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r>
      <w:tr>
        <w:tblPrEx>
          <w:tblCellMar>
            <w:top w:w="0" w:type="dxa"/>
            <w:left w:w="0" w:type="dxa"/>
            <w:bottom w:w="0" w:type="dxa"/>
            <w:right w:w="0" w:type="dxa"/>
          </w:tblCellMar>
        </w:tblPrEx>
        <w:trPr>
          <w:trHeight w:val="559"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公司地址</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r>
      <w:tr>
        <w:tblPrEx>
          <w:tblCellMar>
            <w:top w:w="0" w:type="dxa"/>
            <w:left w:w="0" w:type="dxa"/>
            <w:bottom w:w="0" w:type="dxa"/>
            <w:right w:w="0" w:type="dxa"/>
          </w:tblCellMar>
        </w:tblPrEx>
        <w:trPr>
          <w:trHeight w:val="559"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项目名称及编号</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r>
      <w:tr>
        <w:tblPrEx>
          <w:tblCellMar>
            <w:top w:w="0" w:type="dxa"/>
            <w:left w:w="0" w:type="dxa"/>
            <w:bottom w:w="0" w:type="dxa"/>
            <w:right w:w="0" w:type="dxa"/>
          </w:tblCellMar>
        </w:tblPrEx>
        <w:trPr>
          <w:trHeight w:val="670" w:hRule="atLeast"/>
          <w:jc w:val="center"/>
        </w:trPr>
        <w:tc>
          <w:tcPr>
            <w:tcW w:w="3393"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授权代表联系方式（应保持联系畅通）</w:t>
            </w:r>
          </w:p>
        </w:tc>
        <w:tc>
          <w:tcPr>
            <w:tcW w:w="1200" w:type="dxa"/>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联系人</w:t>
            </w:r>
          </w:p>
        </w:tc>
        <w:tc>
          <w:tcPr>
            <w:tcW w:w="3770" w:type="dxa"/>
            <w:gridSpan w:val="3"/>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r>
      <w:tr>
        <w:tblPrEx>
          <w:tblCellMar>
            <w:top w:w="0" w:type="dxa"/>
            <w:left w:w="0" w:type="dxa"/>
            <w:bottom w:w="0" w:type="dxa"/>
            <w:right w:w="0" w:type="dxa"/>
          </w:tblCellMar>
        </w:tblPrEx>
        <w:trPr>
          <w:trHeight w:val="670" w:hRule="atLeast"/>
          <w:jc w:val="center"/>
        </w:trPr>
        <w:tc>
          <w:tcPr>
            <w:tcW w:w="3393"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c>
          <w:tcPr>
            <w:tcW w:w="1200" w:type="dxa"/>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联系</w:t>
            </w:r>
            <w:r>
              <w:rPr>
                <w:rStyle w:val="18"/>
                <w:rFonts w:hint="eastAsia" w:asciiTheme="majorEastAsia" w:hAnsiTheme="majorEastAsia" w:eastAsiaTheme="majorEastAsia" w:cstheme="majorEastAsia"/>
                <w:lang w:eastAsia="zh-CN"/>
              </w:rPr>
              <w:t>方式</w:t>
            </w:r>
          </w:p>
        </w:tc>
        <w:tc>
          <w:tcPr>
            <w:tcW w:w="3770" w:type="dxa"/>
            <w:gridSpan w:val="3"/>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r>
      <w:tr>
        <w:tblPrEx>
          <w:tblCellMar>
            <w:top w:w="0" w:type="dxa"/>
            <w:left w:w="0" w:type="dxa"/>
            <w:bottom w:w="0" w:type="dxa"/>
            <w:right w:w="0" w:type="dxa"/>
          </w:tblCellMar>
        </w:tblPrEx>
        <w:trPr>
          <w:trHeight w:val="670"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法定代表人(单位负责人)姓名</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r>
      <w:tr>
        <w:tblPrEx>
          <w:tblCellMar>
            <w:top w:w="0" w:type="dxa"/>
            <w:left w:w="0" w:type="dxa"/>
            <w:bottom w:w="0" w:type="dxa"/>
            <w:right w:w="0" w:type="dxa"/>
          </w:tblCellMar>
        </w:tblPrEx>
        <w:trPr>
          <w:trHeight w:val="1130"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投标单位社会信用代码</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r>
      <w:tr>
        <w:tblPrEx>
          <w:tblCellMar>
            <w:top w:w="0" w:type="dxa"/>
            <w:left w:w="0" w:type="dxa"/>
            <w:bottom w:w="0" w:type="dxa"/>
            <w:right w:w="0" w:type="dxa"/>
          </w:tblCellMar>
        </w:tblPrEx>
        <w:trPr>
          <w:trHeight w:val="610" w:hRule="atLeast"/>
          <w:jc w:val="center"/>
        </w:trPr>
        <w:tc>
          <w:tcPr>
            <w:tcW w:w="1927" w:type="dxa"/>
            <w:vMerge w:val="restart"/>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基本账户</w:t>
            </w:r>
          </w:p>
        </w:tc>
        <w:tc>
          <w:tcPr>
            <w:tcW w:w="1466" w:type="dxa"/>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开户银行</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r>
      <w:tr>
        <w:tblPrEx>
          <w:tblCellMar>
            <w:top w:w="0" w:type="dxa"/>
            <w:left w:w="0" w:type="dxa"/>
            <w:bottom w:w="0" w:type="dxa"/>
            <w:right w:w="0" w:type="dxa"/>
          </w:tblCellMar>
        </w:tblPrEx>
        <w:trPr>
          <w:trHeight w:val="610" w:hRule="atLeast"/>
          <w:jc w:val="center"/>
        </w:trPr>
        <w:tc>
          <w:tcPr>
            <w:tcW w:w="1927"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c>
          <w:tcPr>
            <w:tcW w:w="1466" w:type="dxa"/>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银行账号</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r>
      <w:tr>
        <w:tblPrEx>
          <w:tblCellMar>
            <w:top w:w="0" w:type="dxa"/>
            <w:left w:w="0" w:type="dxa"/>
            <w:bottom w:w="0" w:type="dxa"/>
            <w:right w:w="0" w:type="dxa"/>
          </w:tblCellMar>
        </w:tblPrEx>
        <w:trPr>
          <w:trHeight w:val="610"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8"/>
                <w:rFonts w:hint="eastAsia" w:asciiTheme="majorEastAsia" w:hAnsiTheme="majorEastAsia" w:eastAsiaTheme="majorEastAsia" w:cstheme="majorEastAsia"/>
              </w:rPr>
            </w:pPr>
            <w:r>
              <w:rPr>
                <w:rStyle w:val="18"/>
                <w:rFonts w:hint="eastAsia" w:asciiTheme="majorEastAsia" w:hAnsiTheme="majorEastAsia" w:eastAsiaTheme="majorEastAsia" w:cstheme="majorEastAsia"/>
                <w:lang w:eastAsia="zh-CN"/>
              </w:rPr>
              <w:t>是否需要图纸等资料</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r>
    </w:tbl>
    <w:p>
      <w:pPr>
        <w:pStyle w:val="19"/>
        <w:snapToGrid w:val="0"/>
        <w:spacing w:before="0" w:after="0" w:line="360" w:lineRule="auto"/>
        <w:jc w:val="left"/>
        <w:rPr>
          <w:rStyle w:val="18"/>
          <w:rFonts w:asciiTheme="majorEastAsia" w:hAnsiTheme="majorEastAsia" w:eastAsiaTheme="majorEastAsia" w:cstheme="majorEastAsia"/>
          <w:b/>
          <w:bCs/>
          <w:kern w:val="2"/>
          <w:sz w:val="24"/>
          <w:szCs w:val="24"/>
          <w:lang w:val="en-US" w:eastAsia="zh-CN"/>
        </w:rPr>
      </w:pPr>
    </w:p>
    <w:p>
      <w:pPr>
        <w:jc w:val="center"/>
        <w:rPr>
          <w:rStyle w:val="18"/>
          <w:rFonts w:asciiTheme="majorEastAsia" w:hAnsiTheme="majorEastAsia" w:eastAsiaTheme="majorEastAsia" w:cstheme="majorEastAsia"/>
          <w:sz w:val="24"/>
          <w:szCs w:val="24"/>
        </w:rPr>
      </w:pPr>
      <w:r>
        <w:rPr>
          <w:rStyle w:val="18"/>
          <w:rFonts w:hint="eastAsia" w:asciiTheme="majorEastAsia" w:hAnsiTheme="majorEastAsia" w:eastAsiaTheme="majorEastAsia" w:cstheme="majorEastAsia"/>
          <w:sz w:val="24"/>
          <w:szCs w:val="24"/>
          <w:lang w:val="en-US" w:eastAsia="zh-CN"/>
        </w:rPr>
        <w:t xml:space="preserve">                         </w:t>
      </w:r>
      <w:r>
        <w:rPr>
          <w:rStyle w:val="18"/>
          <w:rFonts w:hint="eastAsia" w:asciiTheme="majorEastAsia" w:hAnsiTheme="majorEastAsia" w:eastAsiaTheme="majorEastAsia" w:cstheme="majorEastAsia"/>
          <w:sz w:val="24"/>
          <w:szCs w:val="24"/>
          <w:lang w:eastAsia="zh-CN"/>
        </w:rPr>
        <w:t>供应商</w:t>
      </w:r>
      <w:r>
        <w:rPr>
          <w:rStyle w:val="18"/>
          <w:rFonts w:hint="eastAsia" w:asciiTheme="majorEastAsia" w:hAnsiTheme="majorEastAsia" w:eastAsiaTheme="majorEastAsia" w:cstheme="majorEastAsia"/>
          <w:sz w:val="24"/>
          <w:szCs w:val="24"/>
        </w:rPr>
        <w:t>：(公章)</w:t>
      </w:r>
    </w:p>
    <w:p>
      <w:pPr>
        <w:pStyle w:val="8"/>
        <w:rPr>
          <w:rFonts w:hint="eastAsia"/>
        </w:rPr>
      </w:pPr>
    </w:p>
    <w:p>
      <w:pPr>
        <w:ind w:firstLine="5040" w:firstLineChars="2100"/>
        <w:rPr>
          <w:rStyle w:val="18"/>
          <w:rFonts w:asciiTheme="majorEastAsia" w:hAnsiTheme="majorEastAsia" w:eastAsiaTheme="majorEastAsia" w:cstheme="majorEastAsia"/>
          <w:sz w:val="24"/>
          <w:szCs w:val="24"/>
        </w:rPr>
      </w:pPr>
      <w:r>
        <w:rPr>
          <w:rStyle w:val="18"/>
          <w:rFonts w:hint="eastAsia" w:asciiTheme="majorEastAsia" w:hAnsiTheme="majorEastAsia" w:eastAsiaTheme="majorEastAsia" w:cstheme="majorEastAsia"/>
          <w:sz w:val="24"/>
          <w:szCs w:val="24"/>
        </w:rPr>
        <w:t>法定代表人：(签字或盖章)</w:t>
      </w:r>
    </w:p>
    <w:p>
      <w:pPr>
        <w:pStyle w:val="8"/>
        <w:rPr>
          <w:rFonts w:hint="eastAsia"/>
        </w:rPr>
      </w:pPr>
    </w:p>
    <w:p>
      <w:pPr>
        <w:pStyle w:val="19"/>
        <w:snapToGrid w:val="0"/>
        <w:spacing w:before="0" w:after="0" w:line="360" w:lineRule="auto"/>
        <w:ind w:firstLine="5040" w:firstLineChars="2100"/>
        <w:jc w:val="left"/>
        <w:rPr>
          <w:rStyle w:val="18"/>
          <w:rFonts w:asciiTheme="majorEastAsia" w:hAnsiTheme="majorEastAsia" w:eastAsiaTheme="majorEastAsia" w:cstheme="majorEastAsia"/>
          <w:b/>
          <w:bCs/>
          <w:kern w:val="2"/>
          <w:sz w:val="24"/>
          <w:szCs w:val="24"/>
          <w:lang w:val="en-US" w:eastAsia="zh-CN"/>
        </w:rPr>
      </w:pPr>
      <w:r>
        <w:rPr>
          <w:rStyle w:val="18"/>
          <w:rFonts w:hint="eastAsia" w:asciiTheme="majorEastAsia" w:hAnsiTheme="majorEastAsia" w:eastAsiaTheme="majorEastAsia" w:cstheme="majorEastAsia"/>
          <w:sz w:val="24"/>
          <w:szCs w:val="24"/>
        </w:rPr>
        <w:t>日期：</w:t>
      </w:r>
      <w:r>
        <w:rPr>
          <w:rStyle w:val="18"/>
          <w:rFonts w:hint="eastAsia" w:asciiTheme="majorEastAsia" w:hAnsiTheme="majorEastAsia" w:eastAsiaTheme="majorEastAsia" w:cstheme="majorEastAsia"/>
          <w:sz w:val="24"/>
          <w:szCs w:val="24"/>
          <w:lang w:val="en-US" w:eastAsia="zh-CN"/>
        </w:rPr>
        <w:t xml:space="preserve">   </w:t>
      </w:r>
      <w:r>
        <w:rPr>
          <w:rStyle w:val="18"/>
          <w:rFonts w:hint="eastAsia" w:asciiTheme="majorEastAsia" w:hAnsiTheme="majorEastAsia" w:eastAsiaTheme="majorEastAsia" w:cstheme="majorEastAsia"/>
          <w:sz w:val="24"/>
          <w:szCs w:val="24"/>
        </w:rPr>
        <w:t>年     月     日</w:t>
      </w:r>
    </w:p>
    <w:p>
      <w:pPr>
        <w:pStyle w:val="2"/>
        <w:rPr>
          <w:rFonts w:ascii="仿宋_GB2312" w:eastAsia="仿宋_GB2312"/>
          <w:sz w:val="24"/>
          <w:szCs w:val="24"/>
          <w:lang w:val="zh-CN"/>
        </w:rPr>
      </w:pPr>
    </w:p>
    <w:p>
      <w:pPr>
        <w:rPr>
          <w:rFonts w:hint="eastAsia"/>
          <w:lang w:eastAsia="zh-CN"/>
        </w:rPr>
      </w:pPr>
    </w:p>
    <w:p>
      <w:pPr>
        <w:pStyle w:val="2"/>
        <w:ind w:left="0" w:leftChars="0" w:firstLine="6006" w:firstLineChars="2100"/>
        <w:rPr>
          <w:rFonts w:hint="default" w:ascii="仿宋_GB2312" w:hAnsi="Times New Roman" w:eastAsia="仿宋_GB2312" w:cs="Times New Roman"/>
          <w:spacing w:val="-17"/>
          <w:sz w:val="32"/>
          <w:szCs w:val="32"/>
          <w:lang w:val="en-US" w:eastAsia="zh-CN"/>
        </w:rPr>
      </w:pPr>
    </w:p>
    <w:sectPr>
      <w:footerReference r:id="rId3" w:type="default"/>
      <w:pgSz w:w="11906" w:h="16838"/>
      <w:pgMar w:top="1418" w:right="1588" w:bottom="1418"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8223"/>
    </w:sdtPr>
    <w:sdtEndPr>
      <w:rPr>
        <w:rFonts w:asciiTheme="minorEastAsia" w:hAnsiTheme="minorEastAsia" w:eastAsiaTheme="minorEastAsia"/>
        <w:sz w:val="28"/>
        <w:szCs w:val="28"/>
      </w:rPr>
    </w:sdtEndPr>
    <w:sdtContent>
      <w:p>
        <w:pPr>
          <w:pStyle w:val="6"/>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ZjYjYxNzIwZWYwMTExNzc0OTgwMzc5MTI0MWRhZTcifQ=="/>
  </w:docVars>
  <w:rsids>
    <w:rsidRoot w:val="00172A27"/>
    <w:rsid w:val="0001314A"/>
    <w:rsid w:val="000149AB"/>
    <w:rsid w:val="000263F8"/>
    <w:rsid w:val="000A6233"/>
    <w:rsid w:val="001137D5"/>
    <w:rsid w:val="00130E23"/>
    <w:rsid w:val="00143B7D"/>
    <w:rsid w:val="0015385D"/>
    <w:rsid w:val="0017255E"/>
    <w:rsid w:val="00186E63"/>
    <w:rsid w:val="001B29C7"/>
    <w:rsid w:val="001B7AAA"/>
    <w:rsid w:val="001D05DD"/>
    <w:rsid w:val="001D1D0D"/>
    <w:rsid w:val="001F73AD"/>
    <w:rsid w:val="00224430"/>
    <w:rsid w:val="002A60C4"/>
    <w:rsid w:val="0031053B"/>
    <w:rsid w:val="0031183A"/>
    <w:rsid w:val="00365574"/>
    <w:rsid w:val="0037287E"/>
    <w:rsid w:val="00383603"/>
    <w:rsid w:val="00392A16"/>
    <w:rsid w:val="003C17D2"/>
    <w:rsid w:val="00431720"/>
    <w:rsid w:val="0048045A"/>
    <w:rsid w:val="00482143"/>
    <w:rsid w:val="00511AD1"/>
    <w:rsid w:val="00523242"/>
    <w:rsid w:val="00562AE5"/>
    <w:rsid w:val="005B59AB"/>
    <w:rsid w:val="005D05AF"/>
    <w:rsid w:val="00615380"/>
    <w:rsid w:val="00633D00"/>
    <w:rsid w:val="0064165D"/>
    <w:rsid w:val="00645913"/>
    <w:rsid w:val="0064635A"/>
    <w:rsid w:val="00663837"/>
    <w:rsid w:val="006645B4"/>
    <w:rsid w:val="00696E20"/>
    <w:rsid w:val="006B658D"/>
    <w:rsid w:val="006C3C42"/>
    <w:rsid w:val="006D1C94"/>
    <w:rsid w:val="006D54D3"/>
    <w:rsid w:val="00702562"/>
    <w:rsid w:val="007050AC"/>
    <w:rsid w:val="00707552"/>
    <w:rsid w:val="00707B46"/>
    <w:rsid w:val="00712B61"/>
    <w:rsid w:val="00724FAF"/>
    <w:rsid w:val="007345CA"/>
    <w:rsid w:val="007530C7"/>
    <w:rsid w:val="007717FD"/>
    <w:rsid w:val="00774AA8"/>
    <w:rsid w:val="007D254D"/>
    <w:rsid w:val="007D5541"/>
    <w:rsid w:val="007D66EB"/>
    <w:rsid w:val="007F1FA5"/>
    <w:rsid w:val="008665CB"/>
    <w:rsid w:val="00882681"/>
    <w:rsid w:val="008A394D"/>
    <w:rsid w:val="008E1B69"/>
    <w:rsid w:val="008E1D95"/>
    <w:rsid w:val="00927EF2"/>
    <w:rsid w:val="00941DC3"/>
    <w:rsid w:val="0094594F"/>
    <w:rsid w:val="00967DB3"/>
    <w:rsid w:val="00991830"/>
    <w:rsid w:val="009B2BFE"/>
    <w:rsid w:val="009C0AEE"/>
    <w:rsid w:val="00A1192A"/>
    <w:rsid w:val="00A314E2"/>
    <w:rsid w:val="00A821A7"/>
    <w:rsid w:val="00A8614E"/>
    <w:rsid w:val="00AC1DE0"/>
    <w:rsid w:val="00B205A2"/>
    <w:rsid w:val="00B31EF5"/>
    <w:rsid w:val="00B33D49"/>
    <w:rsid w:val="00B34312"/>
    <w:rsid w:val="00B73734"/>
    <w:rsid w:val="00B95D74"/>
    <w:rsid w:val="00BA680E"/>
    <w:rsid w:val="00BD5397"/>
    <w:rsid w:val="00BF3E3B"/>
    <w:rsid w:val="00C070D6"/>
    <w:rsid w:val="00C13AC9"/>
    <w:rsid w:val="00C232C6"/>
    <w:rsid w:val="00C351FF"/>
    <w:rsid w:val="00C61F6F"/>
    <w:rsid w:val="00C758C9"/>
    <w:rsid w:val="00C97CB9"/>
    <w:rsid w:val="00CF7828"/>
    <w:rsid w:val="00D677CD"/>
    <w:rsid w:val="00D83219"/>
    <w:rsid w:val="00D91C5A"/>
    <w:rsid w:val="00DA4613"/>
    <w:rsid w:val="00DC1DD6"/>
    <w:rsid w:val="00DC5DA5"/>
    <w:rsid w:val="00DD0516"/>
    <w:rsid w:val="00DD673B"/>
    <w:rsid w:val="00E0423E"/>
    <w:rsid w:val="00E301CB"/>
    <w:rsid w:val="00E31898"/>
    <w:rsid w:val="00E37F37"/>
    <w:rsid w:val="00E45453"/>
    <w:rsid w:val="00E613EB"/>
    <w:rsid w:val="00EA2274"/>
    <w:rsid w:val="00EB4F35"/>
    <w:rsid w:val="00EB6236"/>
    <w:rsid w:val="00ED7734"/>
    <w:rsid w:val="00F64B2B"/>
    <w:rsid w:val="00F83D6E"/>
    <w:rsid w:val="00FD1F91"/>
    <w:rsid w:val="03D1726D"/>
    <w:rsid w:val="057D4BE3"/>
    <w:rsid w:val="0BCA048F"/>
    <w:rsid w:val="0CB74F37"/>
    <w:rsid w:val="0CC83A5E"/>
    <w:rsid w:val="0F175A76"/>
    <w:rsid w:val="138B0CB1"/>
    <w:rsid w:val="154342FD"/>
    <w:rsid w:val="1ABA16CE"/>
    <w:rsid w:val="1C764F2D"/>
    <w:rsid w:val="1E0C59C7"/>
    <w:rsid w:val="1E623FD6"/>
    <w:rsid w:val="1E6325EF"/>
    <w:rsid w:val="1E7C727F"/>
    <w:rsid w:val="1F6710F1"/>
    <w:rsid w:val="211749EB"/>
    <w:rsid w:val="240E3DAA"/>
    <w:rsid w:val="24860255"/>
    <w:rsid w:val="24990161"/>
    <w:rsid w:val="24AE1B51"/>
    <w:rsid w:val="258779D8"/>
    <w:rsid w:val="274B0C7F"/>
    <w:rsid w:val="28D27B04"/>
    <w:rsid w:val="294C5251"/>
    <w:rsid w:val="295A24A6"/>
    <w:rsid w:val="29C4587E"/>
    <w:rsid w:val="2A9D68A5"/>
    <w:rsid w:val="2B9C4B6B"/>
    <w:rsid w:val="2CC048AF"/>
    <w:rsid w:val="2FE92250"/>
    <w:rsid w:val="2FEC2F3D"/>
    <w:rsid w:val="30562FA1"/>
    <w:rsid w:val="342476B4"/>
    <w:rsid w:val="355410AE"/>
    <w:rsid w:val="37240058"/>
    <w:rsid w:val="3E3C1261"/>
    <w:rsid w:val="3FE34B40"/>
    <w:rsid w:val="409E00B6"/>
    <w:rsid w:val="41773A03"/>
    <w:rsid w:val="42C910A8"/>
    <w:rsid w:val="44656DC0"/>
    <w:rsid w:val="446C3951"/>
    <w:rsid w:val="46BB0A69"/>
    <w:rsid w:val="4B585D47"/>
    <w:rsid w:val="4C6B08E0"/>
    <w:rsid w:val="50FC6B65"/>
    <w:rsid w:val="51A1586A"/>
    <w:rsid w:val="51DE5EF9"/>
    <w:rsid w:val="531813D7"/>
    <w:rsid w:val="53436D0E"/>
    <w:rsid w:val="578D7C5F"/>
    <w:rsid w:val="5915699E"/>
    <w:rsid w:val="59751278"/>
    <w:rsid w:val="5A5437EC"/>
    <w:rsid w:val="5D317D47"/>
    <w:rsid w:val="5EA14200"/>
    <w:rsid w:val="5F2E297A"/>
    <w:rsid w:val="607A71B4"/>
    <w:rsid w:val="628338D5"/>
    <w:rsid w:val="64176ECE"/>
    <w:rsid w:val="6613112A"/>
    <w:rsid w:val="66D46CA4"/>
    <w:rsid w:val="674D777B"/>
    <w:rsid w:val="697D2992"/>
    <w:rsid w:val="6A585F3B"/>
    <w:rsid w:val="6B1559C7"/>
    <w:rsid w:val="6C6C6CE1"/>
    <w:rsid w:val="6E1B4728"/>
    <w:rsid w:val="6EB810B6"/>
    <w:rsid w:val="70447B2F"/>
    <w:rsid w:val="716C312C"/>
    <w:rsid w:val="71C477E1"/>
    <w:rsid w:val="738C4FDF"/>
    <w:rsid w:val="73D62658"/>
    <w:rsid w:val="74A10B47"/>
    <w:rsid w:val="761B566E"/>
    <w:rsid w:val="76F31295"/>
    <w:rsid w:val="77295228"/>
    <w:rsid w:val="77963049"/>
    <w:rsid w:val="7C3E5C19"/>
    <w:rsid w:val="7D0823E1"/>
    <w:rsid w:val="7ED45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99"/>
    <w:pPr>
      <w:spacing w:after="120" w:line="480" w:lineRule="auto"/>
    </w:p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99"/>
  </w:style>
  <w:style w:type="character" w:styleId="13">
    <w:name w:val="Hyperlink"/>
    <w:basedOn w:val="11"/>
    <w:unhideWhenUsed/>
    <w:qFormat/>
    <w:uiPriority w:val="99"/>
    <w:rPr>
      <w:color w:val="0000FF" w:themeColor="hyperlink"/>
      <w:u w:val="single"/>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页眉 Char"/>
    <w:basedOn w:val="11"/>
    <w:link w:val="7"/>
    <w:qFormat/>
    <w:uiPriority w:val="99"/>
    <w:rPr>
      <w:sz w:val="18"/>
      <w:szCs w:val="18"/>
    </w:rPr>
  </w:style>
  <w:style w:type="character" w:customStyle="1" w:styleId="16">
    <w:name w:val="日期 Char"/>
    <w:basedOn w:val="11"/>
    <w:link w:val="4"/>
    <w:semiHidden/>
    <w:qFormat/>
    <w:uiPriority w:val="99"/>
  </w:style>
  <w:style w:type="character" w:customStyle="1" w:styleId="17">
    <w:name w:val="批注框文本 Char"/>
    <w:basedOn w:val="11"/>
    <w:link w:val="5"/>
    <w:semiHidden/>
    <w:qFormat/>
    <w:uiPriority w:val="99"/>
    <w:rPr>
      <w:sz w:val="18"/>
      <w:szCs w:val="18"/>
    </w:rPr>
  </w:style>
  <w:style w:type="character" w:customStyle="1" w:styleId="18">
    <w:name w:val="NormalCharacter"/>
    <w:qFormat/>
    <w:uiPriority w:val="0"/>
  </w:style>
  <w:style w:type="paragraph" w:customStyle="1" w:styleId="19">
    <w:name w:val="UserStyle_40"/>
    <w:qFormat/>
    <w:uiPriority w:val="0"/>
    <w:pPr>
      <w:spacing w:before="120" w:after="240"/>
      <w:jc w:val="both"/>
      <w:textAlignment w:val="baseline"/>
    </w:pPr>
    <w:rPr>
      <w:rFonts w:ascii="Times New Roman" w:hAnsi="Times New Roman" w:eastAsia="Calibri" w:cstheme="minorBid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4A7-86FB-4924-B6FF-3DA89EDC87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8454</Words>
  <Characters>8923</Characters>
  <Lines>48</Lines>
  <Paragraphs>13</Paragraphs>
  <TotalTime>0</TotalTime>
  <ScaleCrop>false</ScaleCrop>
  <LinksUpToDate>false</LinksUpToDate>
  <CharactersWithSpaces>9273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2021-01-22T23:26:00Z</dcterms:created>
  <dc:creator>Windows</dc:creator>
  <cp:lastModifiedBy>张毅</cp:lastModifiedBy>
  <cp:lastPrinted>2021-05-25T09:17:00Z</cp:lastPrinted>
  <dcterms:modified xsi:type="dcterms:W3CDTF">2023-08-18T09:00:53Z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E610EBC703F04CBE82132C8859959214</vt:lpwstr>
  </property>
</Properties>
</file>