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制盐车间214预热器管道及附属配件拆除更换项目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询比价文件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制盐车间214预热器管道及附属配件拆除更换项目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制盐车间214预热器管道及附属配件拆除更换项目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制盐车间214预热器管道及附属配件拆除并更换为钛合金材质，为交钥匙工程；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原制盐车间214预热器管道及附属配件均为不锈钢材质，需拆除并转移至指定位置；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管道及附属配件拆除后更换为钛合金材质并焊接到位，牌号：TA10，并与现有管道完成对接，对接方式为法兰连接，需更换的管道及配件要求如下：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9"/>
        <w:gridCol w:w="3403"/>
        <w:gridCol w:w="118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3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40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11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7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3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钛合金管道</w:t>
            </w:r>
          </w:p>
        </w:tc>
        <w:tc>
          <w:tcPr>
            <w:tcW w:w="340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Φ273*6mm、PN16</w:t>
            </w:r>
          </w:p>
        </w:tc>
        <w:tc>
          <w:tcPr>
            <w:tcW w:w="11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35m</w:t>
            </w:r>
          </w:p>
        </w:tc>
        <w:tc>
          <w:tcPr>
            <w:tcW w:w="17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TA10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3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钛合金弯头</w:t>
            </w:r>
          </w:p>
        </w:tc>
        <w:tc>
          <w:tcPr>
            <w:tcW w:w="340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Φ273*6mm，90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°，PN16</w:t>
            </w:r>
          </w:p>
        </w:tc>
        <w:tc>
          <w:tcPr>
            <w:tcW w:w="11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12个</w:t>
            </w:r>
          </w:p>
        </w:tc>
        <w:tc>
          <w:tcPr>
            <w:tcW w:w="17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TA10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3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钛合金法兰</w:t>
            </w:r>
          </w:p>
        </w:tc>
        <w:tc>
          <w:tcPr>
            <w:tcW w:w="340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Φ273mm，PN16</w:t>
            </w:r>
          </w:p>
        </w:tc>
        <w:tc>
          <w:tcPr>
            <w:tcW w:w="11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12盘</w:t>
            </w:r>
          </w:p>
        </w:tc>
        <w:tc>
          <w:tcPr>
            <w:tcW w:w="17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TA10</w:t>
            </w:r>
          </w:p>
        </w:tc>
      </w:tr>
    </w:tbl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施工所需的钛合金管道、弯头及法兰等所有材料、吊车、脚手架等辅助施工设备均由投标方负责，具体材料用量及施工量以实际验收数量为准。</w:t>
      </w:r>
    </w:p>
    <w:p>
      <w:pPr>
        <w:pStyle w:val="2"/>
        <w:ind w:left="0" w:leftChars="0" w:firstLine="600" w:firstLineChars="0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施工内容包含但不限于以上内容，管道及配件更换完成后与现有管道完成对接，直至214预热器达到应具备的正常使用功能。</w:t>
      </w:r>
    </w:p>
    <w:p>
      <w:pPr>
        <w:wordWrap/>
        <w:autoSpaceDE w:val="0"/>
        <w:autoSpaceDN w:val="0"/>
        <w:spacing w:line="360" w:lineRule="auto"/>
        <w:ind w:firstLine="600" w:firstLineChars="20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4、费用包含施工所需钛合金管道、弯头及法兰的采购、加工、制造、包装、运输、装卸、人工、焊接、组装、安装、调试、检测、保险、税费、保修、安全生产、检测、验收等一切费用。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本工程无预付款，施工完成并经验收合格后，付至合同金额的90%,同时开具全额增值税专用发票，余款10%作为质保金,期满后无质量问题30个工作日内一次无息付清。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6、其它要求：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6.1 建议投标方提前踏勘现场后再进行报价。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6.2 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施工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过程中，要服从招标方管理，按招标方现场提出的质量要求进行整改。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6.3 投标方需提供焊接作业等作业人员的资质证书，符合安全标准。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6.4 开工前需提供详细的施工方案及安全施工方案，详列施工防护措施、安全施工措施等，施工措施必须符合安全、环保要求。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投标方需提供相关钛合金管道、弯头及法兰合格证和检验报告等证明材料。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6.6 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bidi w:val="0"/>
        <w:ind w:firstLine="600" w:firstLineChars="200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3、施工及验收参照 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GB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/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T 26057-2010 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《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钛及钛合金焊接管标准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》相关内容执行。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投标需要提供报价单、公司营业执照复印件、特殊工种（焊接作业）人员上岗证复印件、施工方案、资质文件、2个以上最近2年业绩合同，以上文件,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1、投标时间：截止至2023年8月17日上午8:00。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2、开标时间：2023年8月17日上午8:30。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2023年8月17日上午8:00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2023年8月17日上午8:00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施工工期：材料到场满足施工条件后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李经理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13127274866  13705382602 18905486522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193"/>
        <w:gridCol w:w="1362"/>
        <w:gridCol w:w="1015"/>
        <w:gridCol w:w="760"/>
        <w:gridCol w:w="856"/>
        <w:gridCol w:w="946"/>
        <w:gridCol w:w="16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制盐车间214预热器管道及附属配件拆除更换项目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制盐车间214预热器管道及附属配件拆除更换项目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报价内容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规格型号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数量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（单位）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总价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(元）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  <w:t>材料费用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  <w:t>施工费用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钛合金管道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273*6mm、PN16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35m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牌号：TA10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钛合金弯头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φ</w:t>
            </w: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273*6mm，90°，PN16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12个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牌号：TA10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钛合金法兰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Φ273mm，PN16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12盘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牌号：TA10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zh-CN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pStyle w:val="2"/>
        <w:ind w:firstLine="0" w:firstLineChars="0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附表二：商务偏离表</w:t>
      </w:r>
    </w:p>
    <w:p>
      <w:pPr>
        <w:pStyle w:val="2"/>
        <w:ind w:firstLine="0" w:firstLineChars="0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pStyle w:val="4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</w:t>
      </w:r>
      <w:r>
        <w:rPr>
          <w:rFonts w:hint="eastAsia" w:ascii="仿宋_GB2312" w:hAnsi="仿宋" w:eastAsia="仿宋_GB2312" w:cstheme="minorBidi"/>
          <w:sz w:val="24"/>
          <w:szCs w:val="22"/>
          <w:u w:val="single"/>
          <w:lang w:val="zh-CN" w:eastAsia="zh-CN"/>
        </w:rPr>
        <w:t>制盐车间214预热器管道及附属配件拆除更换项目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</w:t>
      </w:r>
      <w:r>
        <w:rPr>
          <w:rFonts w:hint="eastAsia" w:ascii="仿宋_GB2312" w:hAnsi="仿宋" w:eastAsia="仿宋_GB2312"/>
          <w:sz w:val="24"/>
          <w:lang w:val="zh-CN"/>
        </w:rPr>
        <w:t>投标方可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在“偏离情况”栏注明“正偏离”</w:t>
      </w:r>
      <w:r>
        <w:rPr>
          <w:rFonts w:hint="eastAsia" w:ascii="仿宋_GB2312" w:hAnsi="仿宋" w:eastAsia="仿宋_GB2312"/>
          <w:sz w:val="24"/>
          <w:lang w:val="zh-CN"/>
        </w:rPr>
        <w:t>、</w:t>
      </w:r>
      <w:r>
        <w:rPr>
          <w:rFonts w:ascii="仿宋_GB2312" w:hAnsi="仿宋" w:eastAsia="仿宋_GB2312"/>
          <w:sz w:val="24"/>
          <w:lang w:val="zh-CN"/>
        </w:rPr>
        <w:t>“负偏离”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/>
          <w:sz w:val="24"/>
          <w:lang w:val="zh-CN"/>
        </w:rPr>
        <w:t>投标方</w:t>
      </w:r>
      <w:r>
        <w:rPr>
          <w:rFonts w:ascii="仿宋_GB2312" w:hAnsi="仿宋" w:eastAsia="仿宋_GB2312"/>
          <w:sz w:val="24"/>
          <w:lang w:val="zh-CN"/>
        </w:rPr>
        <w:t>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pStyle w:val="2"/>
        <w:rPr>
          <w:rFonts w:ascii="仿宋_GB2312" w:eastAsia="仿宋_GB2312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  <w:r>
        <w:rPr>
          <w:rFonts w:hint="eastAsia" w:ascii="仿宋_GB2312" w:hAnsi="仿宋" w:eastAsia="仿宋_GB2312"/>
          <w:sz w:val="24"/>
          <w:lang w:val="zh-CN"/>
        </w:rPr>
        <w:t>技术偏离表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 w:val="0"/>
        <w:autoSpaceDN w:val="0"/>
        <w:spacing w:after="24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 </w:t>
      </w:r>
      <w:r>
        <w:rPr>
          <w:rFonts w:hint="eastAsia" w:ascii="仿宋_GB2312" w:hAnsi="仿宋" w:eastAsia="仿宋_GB2312" w:cstheme="minorBidi"/>
          <w:sz w:val="24"/>
          <w:szCs w:val="22"/>
          <w:u w:val="single"/>
          <w:lang w:val="zh-CN" w:eastAsia="zh-CN"/>
        </w:rPr>
        <w:t>制盐车间214预热器管道及附属配件拆除更换项目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     </w:t>
      </w:r>
      <w:r>
        <w:rPr>
          <w:rFonts w:ascii="仿宋_GB2312" w:hAnsi="仿宋" w:eastAsia="仿宋_GB2312"/>
          <w:sz w:val="24"/>
          <w:lang w:val="zh-CN"/>
        </w:rPr>
        <w:t xml:space="preserve">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</w:t>
      </w:r>
      <w:r>
        <w:rPr>
          <w:rFonts w:hint="eastAsia" w:ascii="仿宋_GB2312" w:hAnsi="仿宋" w:eastAsia="仿宋_GB2312"/>
          <w:sz w:val="24"/>
          <w:lang w:val="zh-CN"/>
        </w:rPr>
        <w:t>投标方可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在“偏离情况”栏注明“正偏离”、“负偏离”或者“无偏离”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/>
          <w:sz w:val="24"/>
          <w:lang w:val="zh-CN"/>
        </w:rPr>
        <w:t>投标方</w:t>
      </w:r>
      <w:r>
        <w:rPr>
          <w:rFonts w:ascii="仿宋_GB2312" w:hAnsi="仿宋" w:eastAsia="仿宋_GB2312"/>
          <w:sz w:val="24"/>
          <w:lang w:val="zh-CN"/>
        </w:rPr>
        <w:t>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pStyle w:val="2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3E71409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A935BF8"/>
    <w:rsid w:val="1BA17A2A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1D3682D"/>
    <w:rsid w:val="42BB3724"/>
    <w:rsid w:val="431C6069"/>
    <w:rsid w:val="43E5717F"/>
    <w:rsid w:val="445B7D72"/>
    <w:rsid w:val="45C10B5F"/>
    <w:rsid w:val="475F1FDB"/>
    <w:rsid w:val="4995105C"/>
    <w:rsid w:val="4A6D4EB4"/>
    <w:rsid w:val="4B517345"/>
    <w:rsid w:val="4DA572EE"/>
    <w:rsid w:val="4EBD15FA"/>
    <w:rsid w:val="4EEF2101"/>
    <w:rsid w:val="50067498"/>
    <w:rsid w:val="51B701A5"/>
    <w:rsid w:val="53D502CF"/>
    <w:rsid w:val="55EE615F"/>
    <w:rsid w:val="56020701"/>
    <w:rsid w:val="5992143E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A77258D"/>
    <w:rsid w:val="6AAD2300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AA23555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1868</Words>
  <Characters>2132</Characters>
  <Lines>0</Lines>
  <Paragraphs>0</Paragraphs>
  <TotalTime>5</TotalTime>
  <ScaleCrop>false</ScaleCrop>
  <LinksUpToDate>false</LinksUpToDate>
  <CharactersWithSpaces>2411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2023-08-15T08:26:13Z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