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b w:val="0"/>
          <w:i w:val="0"/>
          <w:caps w:val="0"/>
          <w:spacing w:val="0"/>
          <w:w w:val="100"/>
          <w:sz w:val="20"/>
          <w:lang w:eastAsia="zh-CN"/>
        </w:rPr>
      </w:pP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rPr>
      </w:pPr>
      <w:r>
        <w:rPr>
          <w:rFonts w:hint="eastAsia" w:ascii="宋体" w:hAnsi="宋体"/>
          <w:b/>
          <w:i w:val="0"/>
          <w:caps w:val="0"/>
          <w:spacing w:val="0"/>
          <w:w w:val="100"/>
          <w:sz w:val="44"/>
          <w:szCs w:val="44"/>
        </w:rPr>
        <w:t>山东</w:t>
      </w:r>
      <w:r>
        <w:rPr>
          <w:rFonts w:hint="eastAsia" w:ascii="宋体" w:hAnsi="宋体"/>
          <w:b/>
          <w:i w:val="0"/>
          <w:caps w:val="0"/>
          <w:spacing w:val="0"/>
          <w:w w:val="100"/>
          <w:sz w:val="44"/>
          <w:szCs w:val="44"/>
          <w:lang w:eastAsia="zh-CN"/>
        </w:rPr>
        <w:t>岱岳制盐</w:t>
      </w:r>
      <w:r>
        <w:rPr>
          <w:rFonts w:hint="eastAsia" w:ascii="宋体" w:hAnsi="宋体"/>
          <w:b/>
          <w:i w:val="0"/>
          <w:caps w:val="0"/>
          <w:spacing w:val="0"/>
          <w:w w:val="100"/>
          <w:sz w:val="44"/>
          <w:szCs w:val="44"/>
        </w:rPr>
        <w:t>有限公司</w:t>
      </w:r>
    </w:p>
    <w:p>
      <w:pPr>
        <w:snapToGrid/>
        <w:spacing w:before="0" w:beforeAutospacing="0" w:after="0" w:afterAutospacing="0" w:line="240" w:lineRule="auto"/>
        <w:jc w:val="center"/>
        <w:textAlignment w:val="baseline"/>
        <w:rPr>
          <w:rFonts w:hint="eastAsia" w:ascii="宋体" w:hAnsi="宋体"/>
          <w:b/>
          <w:i w:val="0"/>
          <w:caps w:val="0"/>
          <w:spacing w:val="0"/>
          <w:w w:val="100"/>
          <w:sz w:val="36"/>
          <w:szCs w:val="36"/>
          <w:lang w:val="en-US" w:eastAsia="zh-CN"/>
        </w:rPr>
      </w:pPr>
      <w:r>
        <w:rPr>
          <w:rFonts w:hint="eastAsia" w:ascii="宋体" w:hAnsi="宋体"/>
          <w:b/>
          <w:i w:val="0"/>
          <w:caps w:val="0"/>
          <w:spacing w:val="0"/>
          <w:w w:val="100"/>
          <w:sz w:val="36"/>
          <w:szCs w:val="36"/>
          <w:lang w:val="en-US" w:eastAsia="zh-CN"/>
        </w:rPr>
        <w:t>分装车间气源管道敷设安装施工项目招标文件</w:t>
      </w: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分装车间气源管道敷设安装施工项目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分装车间气源管道敷设安装施工项目</w:t>
      </w:r>
      <w:r>
        <w:rPr>
          <w:rFonts w:hint="eastAsia" w:ascii="仿宋_GB2312" w:eastAsia="仿宋_GB2312"/>
          <w:b w:val="0"/>
          <w:i w:val="0"/>
          <w:caps w:val="0"/>
          <w:spacing w:val="0"/>
          <w:w w:val="100"/>
          <w:sz w:val="30"/>
          <w:szCs w:val="30"/>
          <w:lang w:val="zh-CN"/>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eastAsia="zh-CN"/>
        </w:rPr>
        <w:t>分装车间</w:t>
      </w:r>
      <w:r>
        <w:rPr>
          <w:rFonts w:hint="eastAsia" w:ascii="仿宋_GB2312" w:eastAsia="仿宋_GB2312"/>
          <w:b w:val="0"/>
          <w:i w:val="0"/>
          <w:caps w:val="0"/>
          <w:spacing w:val="0"/>
          <w:w w:val="100"/>
          <w:sz w:val="30"/>
          <w:szCs w:val="30"/>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3、</w:t>
      </w:r>
      <w:r>
        <w:rPr>
          <w:rFonts w:hint="eastAsia" w:ascii="仿宋_GB2312" w:eastAsia="仿宋_GB2312"/>
          <w:b w:val="0"/>
          <w:i w:val="0"/>
          <w:caps w:val="0"/>
          <w:spacing w:val="0"/>
          <w:w w:val="100"/>
          <w:sz w:val="30"/>
          <w:szCs w:val="30"/>
          <w:lang w:eastAsia="zh-CN"/>
        </w:rPr>
        <w:t>项目施工</w:t>
      </w:r>
      <w:r>
        <w:rPr>
          <w:rFonts w:hint="eastAsia" w:ascii="仿宋_GB2312" w:eastAsia="仿宋_GB2312"/>
          <w:b w:val="0"/>
          <w:i w:val="0"/>
          <w:caps w:val="0"/>
          <w:spacing w:val="0"/>
          <w:w w:val="100"/>
          <w:sz w:val="30"/>
          <w:szCs w:val="30"/>
        </w:rPr>
        <w:t>内容：</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自分装车间空压机房压缩空气主管道处对接管道并穿墙至分装车间，随后沿墙敷设至分装车间5#门及9#门处</w:t>
      </w:r>
      <w:r>
        <w:rPr>
          <w:rFonts w:hint="eastAsia" w:ascii="仿宋_GB2312" w:eastAsia="仿宋_GB2312"/>
          <w:b w:val="0"/>
          <w:i w:val="0"/>
          <w:caps w:val="0"/>
          <w:spacing w:val="0"/>
          <w:w w:val="100"/>
          <w:sz w:val="30"/>
          <w:szCs w:val="30"/>
          <w:lang w:val="zh-CN" w:eastAsia="zh-CN"/>
        </w:rPr>
        <w:t>，</w:t>
      </w:r>
      <w:r>
        <w:rPr>
          <w:rFonts w:hint="eastAsia" w:ascii="仿宋_GB2312" w:eastAsia="仿宋_GB2312"/>
          <w:b w:val="0"/>
          <w:i w:val="0"/>
          <w:caps w:val="0"/>
          <w:spacing w:val="0"/>
          <w:w w:val="100"/>
          <w:sz w:val="30"/>
          <w:szCs w:val="30"/>
          <w:lang w:val="en-US" w:eastAsia="zh-CN"/>
        </w:rPr>
        <w:t>包含弯头、法兰、阀门、管道吊架等附属设备的焊接及安装，为交钥匙工程。</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hAnsiTheme="minorHAnsi" w:cstheme="minorBidi"/>
          <w:b w:val="0"/>
          <w:i w:val="0"/>
          <w:caps w:val="0"/>
          <w:spacing w:val="0"/>
          <w:w w:val="100"/>
          <w:kern w:val="2"/>
          <w:sz w:val="30"/>
          <w:szCs w:val="30"/>
          <w:lang w:val="en-US" w:eastAsia="zh-CN" w:bidi="ar-SA"/>
        </w:rPr>
        <w:t>3.2</w:t>
      </w:r>
      <w:r>
        <w:rPr>
          <w:rFonts w:hint="eastAsia" w:ascii="仿宋_GB2312" w:eastAsia="仿宋_GB2312" w:cstheme="minorBidi"/>
          <w:b w:val="0"/>
          <w:i w:val="0"/>
          <w:caps w:val="0"/>
          <w:spacing w:val="0"/>
          <w:w w:val="100"/>
          <w:kern w:val="2"/>
          <w:sz w:val="30"/>
          <w:szCs w:val="30"/>
          <w:lang w:val="en-US" w:eastAsia="zh-CN" w:bidi="ar-SA"/>
        </w:rPr>
        <w:t xml:space="preserve"> 主管为φ</w:t>
      </w:r>
      <w:r>
        <w:rPr>
          <w:rFonts w:hint="eastAsia" w:ascii="仿宋_GB2312" w:eastAsia="仿宋_GB2312"/>
          <w:b w:val="0"/>
          <w:i w:val="0"/>
          <w:caps w:val="0"/>
          <w:spacing w:val="0"/>
          <w:w w:val="100"/>
          <w:sz w:val="30"/>
          <w:szCs w:val="30"/>
          <w:lang w:val="en-US" w:eastAsia="zh-CN"/>
        </w:rPr>
        <w:t>57*3mm不锈钢管，共计约170m，</w:t>
      </w:r>
      <w:r>
        <w:rPr>
          <w:rFonts w:hint="eastAsia" w:ascii="仿宋_GB2312" w:eastAsia="仿宋_GB2312" w:cstheme="minorBidi"/>
          <w:b w:val="0"/>
          <w:i w:val="0"/>
          <w:caps w:val="0"/>
          <w:spacing w:val="0"/>
          <w:w w:val="100"/>
          <w:kern w:val="2"/>
          <w:sz w:val="30"/>
          <w:szCs w:val="30"/>
          <w:lang w:val="en-US" w:eastAsia="zh-CN" w:bidi="ar-SA"/>
        </w:rPr>
        <w:t>从压缩空气设备间主管道对接后向西平移并穿墙至分装车间内部南墙，随后沿南墙借助原电缆桥架进行敷设，直至分装车间西侧5#门指定位置为止。</w:t>
      </w:r>
    </w:p>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b w:val="0"/>
          <w:i w:val="0"/>
          <w:caps w:val="0"/>
          <w:spacing w:val="0"/>
          <w:w w:val="100"/>
          <w:sz w:val="30"/>
          <w:szCs w:val="30"/>
          <w:lang w:val="en-US" w:eastAsia="zh-CN"/>
        </w:rPr>
        <w:t>3.3 分管为φ38*3mm不锈钢管，共计2道，总长约36m，第1道从5#门主气源管道终点处下翻</w:t>
      </w:r>
      <w:r>
        <w:rPr>
          <w:rFonts w:hint="eastAsia" w:ascii="仿宋_GB2312" w:eastAsia="仿宋_GB2312" w:cstheme="minorBidi"/>
          <w:b w:val="0"/>
          <w:i w:val="0"/>
          <w:caps w:val="0"/>
          <w:spacing w:val="0"/>
          <w:w w:val="100"/>
          <w:kern w:val="2"/>
          <w:sz w:val="30"/>
          <w:szCs w:val="30"/>
          <w:lang w:val="en-US" w:eastAsia="zh-CN" w:bidi="ar-SA"/>
        </w:rPr>
        <w:t>（下翻长度约5m）至距离地面1m处左右并安装阀门，第2道与</w:t>
      </w:r>
      <w:r>
        <w:rPr>
          <w:rFonts w:hint="eastAsia" w:ascii="仿宋_GB2312" w:eastAsia="仿宋_GB2312"/>
          <w:b w:val="0"/>
          <w:i w:val="0"/>
          <w:caps w:val="0"/>
          <w:spacing w:val="0"/>
          <w:w w:val="100"/>
          <w:sz w:val="30"/>
          <w:szCs w:val="30"/>
          <w:lang w:val="en-US" w:eastAsia="zh-CN"/>
        </w:rPr>
        <w:t>5#门主气源管道对接后向北至9#门后指定位置，随后下翻</w:t>
      </w:r>
      <w:r>
        <w:rPr>
          <w:rFonts w:hint="eastAsia" w:ascii="仿宋_GB2312" w:eastAsia="仿宋_GB2312" w:cstheme="minorBidi"/>
          <w:b w:val="0"/>
          <w:i w:val="0"/>
          <w:caps w:val="0"/>
          <w:spacing w:val="0"/>
          <w:w w:val="100"/>
          <w:kern w:val="2"/>
          <w:sz w:val="30"/>
          <w:szCs w:val="30"/>
          <w:lang w:val="en-US" w:eastAsia="zh-CN" w:bidi="ar-SA"/>
        </w:rPr>
        <w:t>（下翻长度约5m）至距离地面1m处左右并安装阀门，为防止压缩空气带水，此处下翻管道需向上弯管后再下翻至地面对接安装阀门。</w:t>
      </w:r>
    </w:p>
    <w:p>
      <w:pPr>
        <w:pStyle w:val="2"/>
        <w:snapToGrid/>
        <w:spacing w:before="0" w:beforeAutospacing="0" w:after="0" w:afterAutospacing="0" w:line="240" w:lineRule="auto"/>
        <w:ind w:left="0" w:leftChars="0" w:firstLine="600" w:firstLineChars="200"/>
        <w:jc w:val="both"/>
        <w:textAlignment w:val="baseline"/>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3.3 主管管底距地面高度约6m，均为高处作业，沿墙敷设管道需借助原电缆桥架支撑架，并间隔4-6m制造并焊接1个管道吊架，共计需制造约40个吊架，管道吊架与管道需固定牢靠，禁止出现通气后因固定不牢靠造成管道位移等现象。</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施工内容包含但不限于以上内容，直至气源管道达到应具备的正常使用功能。</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 施工所需的管道、弯头、法兰、阀门及钢材等主材由招标方负责，投标方负责除主材以外的辅材及脚手架、扎架子等辅助施工设备。</w:t>
      </w:r>
    </w:p>
    <w:p>
      <w:pPr>
        <w:wordWrap/>
        <w:autoSpaceDE w:val="0"/>
        <w:autoSpaceDN w:val="0"/>
        <w:spacing w:line="360" w:lineRule="auto"/>
        <w:ind w:firstLine="600" w:firstLineChars="200"/>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4、施工费用包含除主材以外的辅材及脚手架、扎架子等辅助施工设备、人工、焊接、运输、安装、调试、检测、保险、税费、验收、保修、安全生产等一切费用。</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本工程无预付款,施工完成并经验收合格后，付至结算金额的90%,同时开具全额增值税专用发票，余款10%作为质保金,期满后无质量问题30个工作日内一次无息付清。</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6、其它要求：</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6.1 建议投标方提前踏勘现场后再进行报价。</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6.2 施工过程中，要服从招标方管理，按招标方现场提出的质量要求进行整改。</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6.3 投标方需提供高处作业、焊接作业等作业人员的资质证书，符合安全标准。</w:t>
      </w:r>
    </w:p>
    <w:p>
      <w:pPr>
        <w:pStyle w:val="2"/>
        <w:snapToGrid/>
        <w:spacing w:before="0" w:beforeAutospacing="0" w:after="0" w:afterAutospacing="0" w:line="240" w:lineRule="auto"/>
        <w:ind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6.4 开工前需提供详细的施工方案及安全施工方案，详列施工防护措施、安全施工措施等，施工措施必须符合安全、环保要求。</w:t>
      </w:r>
    </w:p>
    <w:p>
      <w:pPr>
        <w:pStyle w:val="2"/>
        <w:snapToGrid/>
        <w:spacing w:before="0" w:beforeAutospacing="0" w:after="0" w:afterAutospacing="0" w:line="240" w:lineRule="auto"/>
        <w:ind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6.5 因本次施工为室内高空焊接作业，施工位置存有大量编织袋等易燃物，故施工时需清空下部所有易燃物并做好隔离措施，防止焊接产生的火花飘散或掉落引燃易燃物，施工时如发现焊接点下方存有易燃物的每次罚款10000元；如因施工防护措施不到位造成编织袋等易燃物引燃或引起火灾的，投标方负责赔偿招标方所有经济损失。</w:t>
      </w:r>
    </w:p>
    <w:p>
      <w:pPr>
        <w:pStyle w:val="2"/>
        <w:snapToGrid/>
        <w:spacing w:before="0" w:beforeAutospacing="0" w:after="0" w:afterAutospacing="0" w:line="240" w:lineRule="auto"/>
        <w:ind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6.6 因不间断生产，施工现场存在较多叉车作业活动，故交叉作业需安排专人监护，禁止影响正常生产流程。</w:t>
      </w:r>
    </w:p>
    <w:p>
      <w:pPr>
        <w:pStyle w:val="2"/>
        <w:snapToGrid/>
        <w:spacing w:before="0" w:beforeAutospacing="0" w:after="0" w:afterAutospacing="0" w:line="240" w:lineRule="auto"/>
        <w:ind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6.7 质保期：自验收合格之日起1年。</w:t>
      </w:r>
    </w:p>
    <w:p>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投标需要提供报价单、公司营业执照复印件、特殊工种（特种作业及特种设备作业）人员上岗证复印件、施工方案、安全施工方案、资质文件、2个以上最近2年业绩合同，以上文件, 加盖公章，合并为一个文件，格式自拟；</w:t>
      </w:r>
    </w:p>
    <w:p>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1、投标时间：截止至2023年8月7日上午8:00。</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2、开标时间：2023年8月7日下午14:00。</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1、线上，登录隆道云平台报价</w:t>
      </w:r>
      <w:r>
        <w:rPr>
          <w:rFonts w:hint="eastAsia" w:ascii="仿宋_GB2312" w:eastAsia="仿宋_GB2312"/>
          <w:sz w:val="30"/>
          <w:szCs w:val="30"/>
          <w:lang w:eastAsia="zh-CN"/>
        </w:rPr>
        <w:t>或山东岱岳制盐有限公司官网（</w:t>
      </w:r>
      <w:r>
        <w:rPr>
          <w:rFonts w:hint="eastAsia" w:ascii="仿宋_GB2312" w:eastAsia="仿宋_GB2312"/>
          <w:sz w:val="30"/>
          <w:szCs w:val="30"/>
          <w:lang w:val="en-US" w:eastAsia="zh-CN"/>
        </w:rPr>
        <w:t>www.sddyzy.com</w:t>
      </w:r>
      <w:r>
        <w:rPr>
          <w:rFonts w:hint="eastAsia" w:ascii="仿宋_GB2312" w:eastAsia="仿宋_GB2312"/>
          <w:sz w:val="30"/>
          <w:szCs w:val="30"/>
          <w:lang w:eastAsia="zh-CN"/>
        </w:rPr>
        <w:t>）查看招标文件</w:t>
      </w:r>
      <w:r>
        <w:rPr>
          <w:rFonts w:hint="eastAsia" w:ascii="仿宋_GB2312" w:eastAsia="仿宋_GB2312"/>
          <w:sz w:val="30"/>
          <w:szCs w:val="30"/>
        </w:rPr>
        <w:t>；</w:t>
      </w:r>
      <w:r>
        <w:rPr>
          <w:rFonts w:hint="eastAsia" w:ascii="仿宋_GB2312" w:eastAsia="仿宋_GB2312"/>
          <w:sz w:val="30"/>
          <w:szCs w:val="30"/>
          <w:lang w:eastAsia="zh-CN"/>
        </w:rPr>
        <w:t>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b w:val="0"/>
          <w:i w:val="0"/>
          <w:caps w:val="0"/>
          <w:spacing w:val="0"/>
          <w:w w:val="100"/>
          <w:sz w:val="30"/>
          <w:szCs w:val="30"/>
          <w:lang w:val="en-US" w:eastAsia="zh-CN"/>
        </w:rPr>
        <w:t>8月7日上午8:00</w:t>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线下，报专用邮箱：</w:t>
      </w: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HYPERLINK "mailto:dyzy009@163.com，截止时间2022年1月"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dyzy009@163.com，截止时间</w:t>
      </w: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b w:val="0"/>
          <w:i w:val="0"/>
          <w:caps w:val="0"/>
          <w:spacing w:val="0"/>
          <w:w w:val="100"/>
          <w:sz w:val="30"/>
          <w:szCs w:val="30"/>
          <w:lang w:val="en-US" w:eastAsia="zh-CN"/>
        </w:rPr>
        <w:t>8月7日上午8:00</w:t>
      </w:r>
      <w:r>
        <w:rPr>
          <w:rFonts w:hint="eastAsia" w:ascii="仿宋_GB2312" w:eastAsia="仿宋_GB2312"/>
          <w:sz w:val="30"/>
          <w:szCs w:val="30"/>
          <w:lang w:eastAsia="zh-CN"/>
        </w:rPr>
        <w:fldChar w:fldCharType="end"/>
      </w:r>
      <w:r>
        <w:rPr>
          <w:rFonts w:hint="eastAsia" w:ascii="仿宋_GB2312" w:eastAsia="仿宋_GB2312"/>
          <w:sz w:val="30"/>
          <w:szCs w:val="30"/>
        </w:rPr>
        <w:t>。</w:t>
      </w:r>
    </w:p>
    <w:p>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3、</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560" w:lineRule="exact"/>
        <w:ind w:firstLine="675" w:firstLineChars="225"/>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施工工期：材料到场且满足施工条件后</w:t>
      </w:r>
      <w:r>
        <w:rPr>
          <w:rFonts w:hint="eastAsia" w:ascii="仿宋_GB2312" w:eastAsia="仿宋_GB2312"/>
          <w:b w:val="0"/>
          <w:i w:val="0"/>
          <w:caps w:val="0"/>
          <w:spacing w:val="0"/>
          <w:w w:val="100"/>
          <w:sz w:val="30"/>
          <w:szCs w:val="30"/>
          <w:lang w:val="en-US" w:eastAsia="zh-CN"/>
        </w:rPr>
        <w:t>10日历天施工完毕；</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snapToGrid/>
        <w:spacing w:before="0" w:beforeAutospacing="0" w:after="0" w:afterAutospacing="0" w:line="560" w:lineRule="exact"/>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系</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人：</w:t>
      </w:r>
      <w:r>
        <w:rPr>
          <w:rFonts w:hint="eastAsia" w:ascii="仿宋_GB2312" w:eastAsia="仿宋_GB2312"/>
          <w:b w:val="0"/>
          <w:i w:val="0"/>
          <w:caps w:val="0"/>
          <w:spacing w:val="0"/>
          <w:w w:val="100"/>
          <w:sz w:val="30"/>
          <w:szCs w:val="30"/>
          <w:lang w:val="en-US" w:eastAsia="zh-CN"/>
        </w:rPr>
        <w:t xml:space="preserve">  郑经理       王经理      </w:t>
      </w:r>
    </w:p>
    <w:p>
      <w:pPr>
        <w:snapToGrid/>
        <w:spacing w:before="0" w:beforeAutospacing="0" w:after="0" w:afterAutospacing="0" w:line="560" w:lineRule="exact"/>
        <w:ind w:firstLine="2400" w:firstLineChars="8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13127274866  19953893019</w:t>
      </w:r>
    </w:p>
    <w:p>
      <w:pPr>
        <w:snapToGrid/>
        <w:spacing w:before="0" w:beforeAutospacing="0" w:after="0" w:afterAutospacing="0" w:line="560" w:lineRule="exact"/>
        <w:ind w:firstLine="2400" w:firstLineChars="8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eastAsia="zh-CN"/>
        </w:rPr>
        <w:t>张经理</w:t>
      </w:r>
      <w:r>
        <w:rPr>
          <w:rFonts w:hint="eastAsia" w:ascii="仿宋_GB2312" w:eastAsia="仿宋_GB2312"/>
          <w:b w:val="0"/>
          <w:i w:val="0"/>
          <w:caps w:val="0"/>
          <w:spacing w:val="0"/>
          <w:w w:val="100"/>
          <w:sz w:val="30"/>
          <w:szCs w:val="30"/>
          <w:lang w:val="en-US" w:eastAsia="zh-CN"/>
        </w:rPr>
        <w:t xml:space="preserve">       侯经理</w:t>
      </w:r>
      <w:bookmarkStart w:id="0" w:name="_GoBack"/>
      <w:bookmarkEnd w:id="0"/>
    </w:p>
    <w:p>
      <w:pPr>
        <w:snapToGrid/>
        <w:spacing w:before="0" w:beforeAutospacing="0" w:after="0" w:afterAutospacing="0" w:line="560" w:lineRule="exact"/>
        <w:ind w:firstLine="1800" w:firstLineChars="6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13705382602  19953893211</w:t>
      </w:r>
    </w:p>
    <w:p>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pPr>
        <w:pStyle w:val="2"/>
        <w:rPr>
          <w:rFonts w:hint="eastAsia" w:ascii="仿宋_GB2312" w:eastAsia="仿宋_GB2312"/>
          <w:b w:val="0"/>
          <w:i w:val="0"/>
          <w:caps w:val="0"/>
          <w:spacing w:val="0"/>
          <w:w w:val="100"/>
          <w:sz w:val="30"/>
          <w:szCs w:val="30"/>
          <w:lang w:eastAsia="zh-CN"/>
        </w:rPr>
      </w:pPr>
    </w:p>
    <w:p>
      <w:pPr>
        <w:pStyle w:val="2"/>
        <w:rPr>
          <w:rFonts w:hint="eastAsia" w:ascii="仿宋_GB2312" w:eastAsia="仿宋_GB2312"/>
          <w:b w:val="0"/>
          <w:i w:val="0"/>
          <w:caps w:val="0"/>
          <w:spacing w:val="0"/>
          <w:w w:val="100"/>
          <w:sz w:val="30"/>
          <w:szCs w:val="30"/>
          <w:lang w:eastAsia="zh-CN"/>
        </w:rPr>
      </w:pPr>
    </w:p>
    <w:p>
      <w:pPr>
        <w:pStyle w:val="2"/>
        <w:rPr>
          <w:rFonts w:hint="eastAsia" w:ascii="仿宋_GB2312" w:eastAsia="仿宋_GB2312"/>
          <w:b w:val="0"/>
          <w:i w:val="0"/>
          <w:caps w:val="0"/>
          <w:spacing w:val="0"/>
          <w:w w:val="100"/>
          <w:sz w:val="30"/>
          <w:szCs w:val="30"/>
          <w:lang w:eastAsia="zh-CN"/>
        </w:rPr>
      </w:pPr>
    </w:p>
    <w:p>
      <w:pPr>
        <w:pStyle w:val="2"/>
        <w:rPr>
          <w:rFonts w:hint="eastAsia" w:ascii="仿宋_GB2312" w:eastAsia="仿宋_GB2312"/>
          <w:b w:val="0"/>
          <w:i w:val="0"/>
          <w:caps w:val="0"/>
          <w:spacing w:val="0"/>
          <w:w w:val="100"/>
          <w:sz w:val="30"/>
          <w:szCs w:val="30"/>
          <w:lang w:eastAsia="zh-CN"/>
        </w:rPr>
      </w:pPr>
    </w:p>
    <w:p>
      <w:pPr>
        <w:pStyle w:val="2"/>
        <w:rPr>
          <w:rFonts w:hint="eastAsia" w:ascii="仿宋_GB2312" w:eastAsia="仿宋_GB2312"/>
          <w:b w:val="0"/>
          <w:i w:val="0"/>
          <w:caps w:val="0"/>
          <w:spacing w:val="0"/>
          <w:w w:val="100"/>
          <w:sz w:val="30"/>
          <w:szCs w:val="30"/>
          <w:lang w:eastAsia="zh-CN"/>
        </w:rPr>
      </w:pP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3</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8</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日</w:t>
      </w:r>
    </w:p>
    <w:p>
      <w:pPr>
        <w:pStyle w:val="2"/>
        <w:snapToGrid/>
        <w:spacing w:before="0" w:beforeAutospacing="0" w:after="0" w:afterAutospacing="0" w:line="240" w:lineRule="auto"/>
        <w:ind w:left="0" w:leftChars="0" w:firstLine="0" w:firstLineChars="0"/>
        <w:jc w:val="both"/>
        <w:textAlignment w:val="baseline"/>
        <w:rPr>
          <w:rFonts w:hint="eastAsia"/>
          <w:b w:val="0"/>
          <w:i w:val="0"/>
          <w:caps w:val="0"/>
          <w:spacing w:val="0"/>
          <w:w w:val="100"/>
          <w:sz w:val="21"/>
          <w:lang w:val="en-US"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pStyle w:val="2"/>
        <w:rPr>
          <w:rFonts w:hint="eastAsia" w:ascii="仿宋_GB2312" w:eastAsia="仿宋_GB2312"/>
          <w:b w:val="0"/>
          <w:i w:val="0"/>
          <w:caps w:val="0"/>
          <w:spacing w:val="0"/>
          <w:w w:val="100"/>
          <w:sz w:val="32"/>
          <w:szCs w:val="32"/>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355"/>
        <w:gridCol w:w="1708"/>
        <w:gridCol w:w="1742"/>
        <w:gridCol w:w="1390"/>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分装车间气源管道敷设安装施工项目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分装车间气源管道敷设安装施工项目</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60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r>
              <w:rPr>
                <w:rFonts w:hint="default" w:ascii="仿宋_GB2312" w:eastAsia="仿宋_GB2312"/>
                <w:b w:val="0"/>
                <w:i w:val="0"/>
                <w:caps w:val="0"/>
                <w:spacing w:val="0"/>
                <w:w w:val="100"/>
                <w:sz w:val="24"/>
                <w:szCs w:val="24"/>
                <w:lang w:val="en-US" w:eastAsia="zh-CN"/>
              </w:rPr>
              <w:t>数量（</w:t>
            </w:r>
            <w:r>
              <w:rPr>
                <w:rFonts w:hint="eastAsia" w:ascii="仿宋_GB2312" w:eastAsia="仿宋_GB2312"/>
                <w:b w:val="0"/>
                <w:i w:val="0"/>
                <w:caps w:val="0"/>
                <w:spacing w:val="0"/>
                <w:w w:val="100"/>
                <w:sz w:val="24"/>
                <w:szCs w:val="24"/>
                <w:lang w:val="en-US" w:eastAsia="zh-CN"/>
              </w:rPr>
              <w:t>单位</w:t>
            </w:r>
            <w:r>
              <w:rPr>
                <w:rFonts w:hint="default" w:ascii="仿宋_GB2312" w:eastAsia="仿宋_GB2312"/>
                <w:b w:val="0"/>
                <w:i w:val="0"/>
                <w:caps w:val="0"/>
                <w:spacing w:val="0"/>
                <w:w w:val="100"/>
                <w:sz w:val="24"/>
                <w:szCs w:val="24"/>
                <w:lang w:val="en-US" w:eastAsia="zh-CN"/>
              </w:rPr>
              <w:t>）</w:t>
            </w:r>
          </w:p>
        </w:tc>
        <w:tc>
          <w:tcPr>
            <w:tcW w:w="1742" w:type="dxa"/>
            <w:tcBorders>
              <w:top w:val="single" w:color="000000" w:sz="4" w:space="0"/>
              <w:left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单价（</w:t>
            </w:r>
            <w:r>
              <w:rPr>
                <w:rFonts w:hint="eastAsia" w:ascii="仿宋_GB2312" w:eastAsia="仿宋_GB2312"/>
                <w:b w:val="0"/>
                <w:i w:val="0"/>
                <w:caps w:val="0"/>
                <w:spacing w:val="0"/>
                <w:w w:val="100"/>
                <w:sz w:val="24"/>
                <w:szCs w:val="24"/>
                <w:lang w:val="en-US" w:eastAsia="zh-CN"/>
              </w:rPr>
              <w:t>元/m²</w:t>
            </w:r>
            <w:r>
              <w:rPr>
                <w:rFonts w:hint="default" w:ascii="仿宋_GB2312" w:eastAsia="仿宋_GB2312"/>
                <w:b w:val="0"/>
                <w:i w:val="0"/>
                <w:caps w:val="0"/>
                <w:spacing w:val="0"/>
                <w:w w:val="100"/>
                <w:sz w:val="24"/>
                <w:szCs w:val="24"/>
                <w:lang w:val="en-US" w:eastAsia="zh-CN"/>
              </w:rPr>
              <w:t>）</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1603" w:type="dxa"/>
            <w:gridSpan w:val="2"/>
            <w:tcBorders>
              <w:top w:val="single" w:color="000000" w:sz="4" w:space="0"/>
              <w:left w:val="single" w:color="000000" w:sz="4" w:space="0"/>
              <w:bottom w:val="nil"/>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主管敷设安装</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162m</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φ57*3mm不锈钢管</w:t>
            </w:r>
          </w:p>
        </w:tc>
      </w:tr>
      <w:tr>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1603"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 w:hAnsi="仿宋" w:eastAsia="仿宋" w:cs="仿宋"/>
                <w:b w:val="0"/>
                <w:bCs/>
                <w:i w:val="0"/>
                <w:caps w:val="0"/>
                <w:spacing w:val="0"/>
                <w:w w:val="100"/>
                <w:sz w:val="22"/>
                <w:szCs w:val="22"/>
                <w:lang w:val="en-US" w:eastAsia="zh-CN"/>
              </w:rPr>
              <w:t>分管敷设安装</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36m</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φ38*3mm不锈钢管</w:t>
            </w:r>
          </w:p>
        </w:tc>
      </w:tr>
      <w:tr>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1603"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吊架</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40个</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160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1603"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备注：以上报价包含辅材及扎架子、脚手架等辅助施工设备。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lang w:val="en-US" w:eastAsia="zh-CN"/>
        </w:rPr>
      </w:pPr>
      <w:r>
        <w:rPr>
          <w:rFonts w:hint="eastAsia" w:ascii="仿宋_GB2312" w:eastAsia="仿宋_GB2312"/>
          <w:b w:val="0"/>
          <w:i w:val="0"/>
          <w:caps w:val="0"/>
          <w:spacing w:val="0"/>
          <w:w w:val="100"/>
          <w:sz w:val="30"/>
          <w:szCs w:val="30"/>
          <w:lang w:val="en-US" w:eastAsia="zh-CN"/>
        </w:rPr>
        <w:t xml:space="preserve">                            2023年   月   日</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7F12D4"/>
    <w:rsid w:val="01E3241E"/>
    <w:rsid w:val="022F74DC"/>
    <w:rsid w:val="03B91101"/>
    <w:rsid w:val="07D71CEE"/>
    <w:rsid w:val="08070D6B"/>
    <w:rsid w:val="08445E66"/>
    <w:rsid w:val="09DA5520"/>
    <w:rsid w:val="0D1A2A65"/>
    <w:rsid w:val="0EC030DD"/>
    <w:rsid w:val="0F091391"/>
    <w:rsid w:val="0F1861D4"/>
    <w:rsid w:val="100A0345"/>
    <w:rsid w:val="13BB58AD"/>
    <w:rsid w:val="140D24DD"/>
    <w:rsid w:val="143332F5"/>
    <w:rsid w:val="16E23DFB"/>
    <w:rsid w:val="176D2836"/>
    <w:rsid w:val="19B82418"/>
    <w:rsid w:val="1BA17A2A"/>
    <w:rsid w:val="228B098C"/>
    <w:rsid w:val="24180157"/>
    <w:rsid w:val="246B40C1"/>
    <w:rsid w:val="24B66377"/>
    <w:rsid w:val="25BF247D"/>
    <w:rsid w:val="27F73392"/>
    <w:rsid w:val="2B854CEE"/>
    <w:rsid w:val="2BA0116E"/>
    <w:rsid w:val="2C813014"/>
    <w:rsid w:val="2EF00CBC"/>
    <w:rsid w:val="2FB96356"/>
    <w:rsid w:val="30D37E45"/>
    <w:rsid w:val="318F22B0"/>
    <w:rsid w:val="32991881"/>
    <w:rsid w:val="34862330"/>
    <w:rsid w:val="36D55FE6"/>
    <w:rsid w:val="36F81E25"/>
    <w:rsid w:val="37584AFD"/>
    <w:rsid w:val="375877D0"/>
    <w:rsid w:val="37E72A62"/>
    <w:rsid w:val="39793197"/>
    <w:rsid w:val="39F53665"/>
    <w:rsid w:val="3BC245AF"/>
    <w:rsid w:val="3D222B40"/>
    <w:rsid w:val="40AE5174"/>
    <w:rsid w:val="42BB3724"/>
    <w:rsid w:val="431C6069"/>
    <w:rsid w:val="43E5717F"/>
    <w:rsid w:val="445B7D72"/>
    <w:rsid w:val="45C10B5F"/>
    <w:rsid w:val="475F1FDB"/>
    <w:rsid w:val="4995105C"/>
    <w:rsid w:val="4A6D4EB4"/>
    <w:rsid w:val="4EBD15FA"/>
    <w:rsid w:val="4EEF2101"/>
    <w:rsid w:val="50067498"/>
    <w:rsid w:val="51B701A5"/>
    <w:rsid w:val="55EE615F"/>
    <w:rsid w:val="56020701"/>
    <w:rsid w:val="599A10C9"/>
    <w:rsid w:val="5ABD4099"/>
    <w:rsid w:val="5B266605"/>
    <w:rsid w:val="5D3D574E"/>
    <w:rsid w:val="5DBB7DAF"/>
    <w:rsid w:val="5EF45D66"/>
    <w:rsid w:val="5F9040D2"/>
    <w:rsid w:val="6061339D"/>
    <w:rsid w:val="60956DB9"/>
    <w:rsid w:val="619D030E"/>
    <w:rsid w:val="625051A3"/>
    <w:rsid w:val="63D602A9"/>
    <w:rsid w:val="64C9520C"/>
    <w:rsid w:val="65CF594F"/>
    <w:rsid w:val="669929D9"/>
    <w:rsid w:val="676E33F4"/>
    <w:rsid w:val="68E24AEE"/>
    <w:rsid w:val="693A6AAD"/>
    <w:rsid w:val="6B106DB8"/>
    <w:rsid w:val="6BD60081"/>
    <w:rsid w:val="6D272B23"/>
    <w:rsid w:val="6F8C790A"/>
    <w:rsid w:val="71870DF3"/>
    <w:rsid w:val="72C95E21"/>
    <w:rsid w:val="748218CD"/>
    <w:rsid w:val="76332B34"/>
    <w:rsid w:val="7A067F11"/>
    <w:rsid w:val="7DC91981"/>
    <w:rsid w:val="7E3D6026"/>
    <w:rsid w:val="7E7E10FB"/>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unhideWhenUsed/>
    <w:qFormat/>
    <w:uiPriority w:val="99"/>
    <w:pPr>
      <w:tabs>
        <w:tab w:val="left" w:pos="6615"/>
      </w:tabs>
      <w:ind w:firstLine="420"/>
    </w:pPr>
    <w:rPr>
      <w:rFonts w:ascii="Calibri" w:hAnsi="Calibri" w:eastAsia="宋体" w:cs="Times New Roman"/>
      <w:spacing w:val="6"/>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1852</Words>
  <Characters>2062</Characters>
  <Lines>0</Lines>
  <Paragraphs>0</Paragraphs>
  <TotalTime>15</TotalTime>
  <ScaleCrop>false</ScaleCrop>
  <LinksUpToDate>false</LinksUpToDate>
  <CharactersWithSpaces>2300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2023-07-28T06:50:00Z</cp:lastPrinted>
  <dcterms:modified xsi:type="dcterms:W3CDTF">2023-08-04T03:03:23Z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091DDAECA722471C9350C3F94238431E</vt:lpwstr>
  </property>
</Properties>
</file>