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 xml:space="preserve">  </w:t>
      </w:r>
    </w:p>
    <w:p>
      <w:pPr>
        <w:jc w:val="center"/>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山东</w:t>
      </w:r>
      <w:r>
        <w:rPr>
          <w:rFonts w:hint="eastAsia" w:ascii="方正小标宋简体" w:hAnsi="Times New Roman" w:eastAsia="方正小标宋简体" w:cs="Times New Roman"/>
          <w:sz w:val="44"/>
          <w:szCs w:val="44"/>
          <w:lang w:eastAsia="zh-CN"/>
        </w:rPr>
        <w:t>岱</w:t>
      </w:r>
      <w:bookmarkStart w:id="10" w:name="_GoBack"/>
      <w:bookmarkEnd w:id="10"/>
      <w:r>
        <w:rPr>
          <w:rFonts w:hint="eastAsia" w:ascii="方正小标宋简体" w:hAnsi="Times New Roman" w:eastAsia="方正小标宋简体" w:cs="Times New Roman"/>
          <w:sz w:val="44"/>
          <w:szCs w:val="44"/>
          <w:lang w:eastAsia="zh-CN"/>
        </w:rPr>
        <w:t>岳制盐</w:t>
      </w:r>
      <w:r>
        <w:rPr>
          <w:rFonts w:hint="eastAsia" w:ascii="方正小标宋简体" w:hAnsi="Times New Roman" w:eastAsia="方正小标宋简体" w:cs="Times New Roman"/>
          <w:sz w:val="44"/>
          <w:szCs w:val="44"/>
        </w:rPr>
        <w:t>有限公司</w:t>
      </w:r>
    </w:p>
    <w:p>
      <w:pPr>
        <w:spacing w:line="0" w:lineRule="atLeast"/>
        <w:jc w:val="center"/>
        <w:rPr>
          <w:rFonts w:hint="eastAsia" w:ascii="方正小标宋简体" w:hAnsi="宋体" w:eastAsia="方正小标宋简体"/>
          <w:sz w:val="44"/>
          <w:szCs w:val="44"/>
          <w:lang w:eastAsia="zh-CN"/>
        </w:rPr>
      </w:pPr>
      <w:r>
        <w:rPr>
          <w:rFonts w:hint="eastAsia" w:ascii="方正小标宋简体" w:hAnsi="宋体" w:eastAsia="方正小标宋简体"/>
          <w:sz w:val="44"/>
          <w:szCs w:val="44"/>
          <w:lang w:eastAsia="zh-CN"/>
        </w:rPr>
        <w:t>制盐车间离心机配重块建设及基座改造项目</w:t>
      </w:r>
    </w:p>
    <w:p>
      <w:pPr>
        <w:spacing w:line="0" w:lineRule="atLeast"/>
        <w:jc w:val="center"/>
        <w:rPr>
          <w:rFonts w:ascii="方正小标宋简体" w:hAnsi="宋体" w:eastAsia="方正小标宋简体"/>
          <w:sz w:val="72"/>
          <w:szCs w:val="72"/>
        </w:rPr>
      </w:pPr>
      <w:r>
        <w:rPr>
          <w:rFonts w:hint="eastAsia" w:ascii="方正小标宋简体" w:hAnsi="黑体" w:eastAsia="方正小标宋简体" w:cs="Times New Roman"/>
          <w:sz w:val="72"/>
          <w:szCs w:val="72"/>
        </w:rPr>
        <w:t>招标文件</w:t>
      </w:r>
    </w:p>
    <w:p>
      <w:pPr>
        <w:jc w:val="center"/>
        <w:rPr>
          <w:rFonts w:ascii="楷体_GB2312" w:hAnsi="Times New Roman" w:eastAsia="楷体_GB2312" w:cs="Times New Roman"/>
          <w:sz w:val="32"/>
          <w:szCs w:val="32"/>
        </w:rPr>
      </w:pPr>
    </w:p>
    <w:p>
      <w:pPr>
        <w:spacing w:line="400" w:lineRule="exact"/>
        <w:jc w:val="center"/>
        <w:rPr>
          <w:rFonts w:ascii="Times New Roman" w:hAnsi="Times New Roman" w:eastAsia="宋体" w:cs="Times New Roman"/>
          <w:szCs w:val="24"/>
        </w:rPr>
      </w:pPr>
    </w:p>
    <w:p>
      <w:pPr>
        <w:spacing w:line="400" w:lineRule="exact"/>
        <w:jc w:val="center"/>
        <w:rPr>
          <w:rFonts w:ascii="Times New Roman" w:hAnsi="Times New Roman" w:eastAsia="宋体" w:cs="Times New Roman"/>
          <w:szCs w:val="24"/>
        </w:rPr>
      </w:pPr>
    </w:p>
    <w:p>
      <w:pPr>
        <w:spacing w:line="400" w:lineRule="exact"/>
        <w:jc w:val="center"/>
        <w:rPr>
          <w:rFonts w:ascii="Times New Roman" w:hAnsi="Times New Roman" w:eastAsia="宋体" w:cs="Times New Roman"/>
          <w:szCs w:val="24"/>
        </w:rPr>
      </w:pPr>
    </w:p>
    <w:p>
      <w:pPr>
        <w:spacing w:line="400" w:lineRule="exact"/>
        <w:jc w:val="center"/>
        <w:rPr>
          <w:rFonts w:ascii="Times New Roman" w:hAnsi="Times New Roman" w:eastAsia="宋体" w:cs="Times New Roman"/>
          <w:szCs w:val="24"/>
        </w:rPr>
      </w:pPr>
    </w:p>
    <w:p>
      <w:pPr>
        <w:spacing w:line="400" w:lineRule="exact"/>
        <w:jc w:val="center"/>
        <w:rPr>
          <w:rFonts w:ascii="黑体" w:hAnsi="黑体" w:eastAsia="黑体" w:cs="Times New Roman"/>
          <w:sz w:val="32"/>
          <w:szCs w:val="24"/>
        </w:rPr>
      </w:pPr>
    </w:p>
    <w:p>
      <w:pPr>
        <w:spacing w:line="400" w:lineRule="exact"/>
        <w:jc w:val="center"/>
        <w:rPr>
          <w:rFonts w:hint="default" w:ascii="黑体" w:hAnsi="黑体" w:eastAsia="黑体" w:cs="Times New Roman"/>
          <w:sz w:val="32"/>
          <w:szCs w:val="24"/>
          <w:lang w:val="en-US" w:eastAsia="zh-CN"/>
        </w:rPr>
      </w:pPr>
      <w:r>
        <w:rPr>
          <w:rFonts w:hint="eastAsia" w:ascii="黑体" w:hAnsi="黑体" w:eastAsia="黑体" w:cs="Times New Roman"/>
          <w:sz w:val="32"/>
          <w:szCs w:val="24"/>
        </w:rPr>
        <w:t>项目编号：</w:t>
      </w:r>
      <w:r>
        <w:rPr>
          <w:rFonts w:hint="eastAsia" w:ascii="黑体" w:hAnsi="黑体" w:eastAsia="黑体" w:cs="Times New Roman"/>
          <w:sz w:val="32"/>
          <w:szCs w:val="24"/>
          <w:lang w:val="en-US" w:eastAsia="zh-CN"/>
        </w:rPr>
        <w:t>SCB</w:t>
      </w:r>
      <w:r>
        <w:rPr>
          <w:rFonts w:hint="eastAsia" w:ascii="黑体" w:hAnsi="黑体" w:eastAsia="黑体" w:cs="Times New Roman"/>
          <w:sz w:val="32"/>
          <w:szCs w:val="24"/>
        </w:rPr>
        <w:t>-202</w:t>
      </w:r>
      <w:r>
        <w:rPr>
          <w:rFonts w:hint="eastAsia" w:ascii="黑体" w:hAnsi="黑体" w:eastAsia="黑体" w:cs="Times New Roman"/>
          <w:sz w:val="32"/>
          <w:szCs w:val="24"/>
          <w:lang w:val="en-US" w:eastAsia="zh-CN"/>
        </w:rPr>
        <w:t>3</w:t>
      </w:r>
      <w:r>
        <w:rPr>
          <w:rFonts w:hint="eastAsia" w:ascii="黑体" w:hAnsi="黑体" w:eastAsia="黑体" w:cs="Times New Roman"/>
          <w:color w:val="auto"/>
          <w:sz w:val="32"/>
          <w:szCs w:val="24"/>
          <w:lang w:val="en-US" w:eastAsia="zh-CN"/>
        </w:rPr>
        <w:t>025</w:t>
      </w:r>
    </w:p>
    <w:p>
      <w:pPr>
        <w:spacing w:line="400" w:lineRule="exact"/>
        <w:jc w:val="center"/>
        <w:rPr>
          <w:rFonts w:ascii="黑体" w:hAnsi="黑体" w:eastAsia="黑体" w:cs="Times New Roman"/>
          <w:sz w:val="32"/>
          <w:szCs w:val="24"/>
        </w:rPr>
      </w:pPr>
    </w:p>
    <w:p>
      <w:pPr>
        <w:spacing w:line="400" w:lineRule="exact"/>
        <w:jc w:val="center"/>
        <w:rPr>
          <w:rFonts w:ascii="黑体" w:hAnsi="黑体" w:eastAsia="黑体" w:cs="Times New Roman"/>
          <w:sz w:val="32"/>
          <w:szCs w:val="24"/>
        </w:rPr>
      </w:pPr>
    </w:p>
    <w:p>
      <w:pPr>
        <w:pStyle w:val="3"/>
        <w:rPr>
          <w:rFonts w:ascii="黑体" w:hAnsi="黑体" w:eastAsia="黑体" w:cs="Times New Roman"/>
          <w:sz w:val="32"/>
          <w:szCs w:val="24"/>
        </w:rPr>
      </w:pPr>
    </w:p>
    <w:p/>
    <w:p>
      <w:pPr>
        <w:spacing w:line="400" w:lineRule="exact"/>
        <w:jc w:val="center"/>
        <w:rPr>
          <w:rFonts w:ascii="黑体" w:hAnsi="黑体" w:eastAsia="黑体" w:cs="Times New Roman"/>
          <w:sz w:val="32"/>
          <w:szCs w:val="24"/>
        </w:rPr>
      </w:pPr>
    </w:p>
    <w:p>
      <w:pPr>
        <w:spacing w:line="400" w:lineRule="exact"/>
        <w:jc w:val="center"/>
        <w:rPr>
          <w:rFonts w:ascii="黑体" w:hAnsi="黑体" w:eastAsia="黑体" w:cs="Times New Roman"/>
          <w:sz w:val="32"/>
          <w:szCs w:val="24"/>
        </w:rPr>
      </w:pPr>
    </w:p>
    <w:p>
      <w:pPr>
        <w:spacing w:line="400" w:lineRule="exact"/>
        <w:jc w:val="center"/>
        <w:rPr>
          <w:rFonts w:ascii="黑体" w:hAnsi="黑体" w:eastAsia="黑体" w:cs="Times New Roman"/>
          <w:sz w:val="32"/>
          <w:szCs w:val="24"/>
        </w:rPr>
      </w:pPr>
    </w:p>
    <w:p>
      <w:pPr>
        <w:spacing w:line="400" w:lineRule="exact"/>
        <w:jc w:val="center"/>
        <w:rPr>
          <w:rFonts w:ascii="黑体" w:hAnsi="黑体" w:eastAsia="黑体" w:cs="Times New Roman"/>
          <w:sz w:val="32"/>
          <w:szCs w:val="24"/>
        </w:rPr>
      </w:pPr>
    </w:p>
    <w:p>
      <w:pPr>
        <w:jc w:val="center"/>
        <w:rPr>
          <w:rFonts w:ascii="黑体" w:hAnsi="黑体" w:eastAsia="黑体" w:cs="Times New Roman"/>
          <w:sz w:val="32"/>
          <w:szCs w:val="24"/>
        </w:rPr>
      </w:pPr>
      <w:r>
        <w:rPr>
          <w:rFonts w:hint="eastAsia" w:ascii="黑体" w:hAnsi="黑体" w:eastAsia="黑体" w:cs="Times New Roman"/>
          <w:sz w:val="32"/>
          <w:szCs w:val="24"/>
        </w:rPr>
        <w:t>山东</w:t>
      </w:r>
      <w:r>
        <w:rPr>
          <w:rFonts w:hint="eastAsia" w:ascii="黑体" w:hAnsi="黑体" w:eastAsia="黑体" w:cs="Times New Roman"/>
          <w:sz w:val="32"/>
          <w:szCs w:val="24"/>
          <w:lang w:eastAsia="zh-CN"/>
        </w:rPr>
        <w:t>岱岳制盐</w:t>
      </w:r>
      <w:r>
        <w:rPr>
          <w:rFonts w:hint="eastAsia" w:ascii="黑体" w:hAnsi="黑体" w:eastAsia="黑体" w:cs="Times New Roman"/>
          <w:sz w:val="32"/>
          <w:szCs w:val="24"/>
        </w:rPr>
        <w:t>有限公司</w:t>
      </w:r>
    </w:p>
    <w:p>
      <w:pPr>
        <w:jc w:val="center"/>
        <w:rPr>
          <w:rFonts w:hint="eastAsia" w:ascii="方正小标宋简体" w:hAnsi="宋体" w:eastAsia="方正小标宋简体" w:cs="Times New Roman"/>
          <w:color w:val="auto"/>
          <w:sz w:val="44"/>
          <w:szCs w:val="44"/>
        </w:rPr>
      </w:pPr>
      <w:r>
        <w:rPr>
          <w:rFonts w:hint="eastAsia" w:ascii="黑体" w:hAnsi="黑体" w:eastAsia="黑体" w:cs="Times New Roman"/>
          <w:color w:val="auto"/>
          <w:sz w:val="32"/>
          <w:szCs w:val="24"/>
        </w:rPr>
        <w:t>202</w:t>
      </w:r>
      <w:r>
        <w:rPr>
          <w:rFonts w:hint="eastAsia" w:ascii="黑体" w:hAnsi="黑体" w:eastAsia="黑体" w:cs="Times New Roman"/>
          <w:color w:val="auto"/>
          <w:sz w:val="32"/>
          <w:szCs w:val="24"/>
          <w:lang w:val="en-US" w:eastAsia="zh-CN"/>
        </w:rPr>
        <w:t>3</w:t>
      </w:r>
      <w:r>
        <w:rPr>
          <w:rFonts w:hint="eastAsia" w:ascii="黑体" w:hAnsi="黑体" w:eastAsia="黑体" w:cs="Times New Roman"/>
          <w:color w:val="auto"/>
          <w:sz w:val="32"/>
          <w:szCs w:val="24"/>
        </w:rPr>
        <w:t>年</w:t>
      </w:r>
      <w:r>
        <w:rPr>
          <w:rFonts w:hint="eastAsia" w:ascii="黑体" w:hAnsi="黑体" w:eastAsia="黑体" w:cs="Times New Roman"/>
          <w:color w:val="auto"/>
          <w:sz w:val="32"/>
          <w:szCs w:val="24"/>
          <w:lang w:val="en-US" w:eastAsia="zh-CN"/>
        </w:rPr>
        <w:t>6</w:t>
      </w:r>
      <w:r>
        <w:rPr>
          <w:rFonts w:hint="eastAsia" w:ascii="黑体" w:hAnsi="黑体" w:eastAsia="黑体" w:cs="Times New Roman"/>
          <w:color w:val="auto"/>
          <w:sz w:val="32"/>
          <w:szCs w:val="24"/>
        </w:rPr>
        <w:t>月</w:t>
      </w:r>
      <w:r>
        <w:rPr>
          <w:rFonts w:hint="eastAsia" w:ascii="黑体" w:hAnsi="黑体" w:eastAsia="黑体" w:cs="Times New Roman"/>
          <w:color w:val="auto"/>
          <w:sz w:val="32"/>
          <w:szCs w:val="24"/>
          <w:lang w:val="en-US" w:eastAsia="zh-CN"/>
        </w:rPr>
        <w:t>24日</w:t>
      </w:r>
    </w:p>
    <w:p>
      <w:pPr>
        <w:jc w:val="center"/>
        <w:rPr>
          <w:rFonts w:hint="eastAsia" w:ascii="方正小标宋简体" w:hAnsi="宋体" w:eastAsia="方正小标宋简体" w:cs="Times New Roman"/>
          <w:sz w:val="44"/>
          <w:szCs w:val="44"/>
        </w:rPr>
      </w:pPr>
    </w:p>
    <w:p>
      <w:pPr>
        <w:jc w:val="both"/>
        <w:rPr>
          <w:rFonts w:hint="eastAsia" w:ascii="方正小标宋简体" w:hAnsi="宋体" w:eastAsia="方正小标宋简体" w:cs="Times New Roman"/>
          <w:sz w:val="44"/>
          <w:szCs w:val="44"/>
        </w:rPr>
      </w:pPr>
    </w:p>
    <w:p>
      <w:pPr>
        <w:jc w:val="center"/>
        <w:rPr>
          <w:rFonts w:ascii="方正小标宋简体" w:hAnsi="宋体" w:eastAsia="方正小标宋简体" w:cs="Times New Roman"/>
          <w:sz w:val="44"/>
          <w:szCs w:val="44"/>
        </w:rPr>
      </w:pPr>
      <w:r>
        <w:rPr>
          <w:rFonts w:hint="eastAsia" w:ascii="方正小标宋简体" w:hAnsi="宋体" w:eastAsia="方正小标宋简体" w:cs="Times New Roman"/>
          <w:sz w:val="44"/>
          <w:szCs w:val="44"/>
        </w:rPr>
        <w:t>第一章 招标公告</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一、招标条件</w:t>
      </w:r>
    </w:p>
    <w:p>
      <w:pPr>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lang w:eastAsia="zh-CN"/>
        </w:rPr>
        <w:t>制盐车间离心机配重块建设及基座改造项目</w:t>
      </w:r>
      <w:r>
        <w:rPr>
          <w:rFonts w:hint="eastAsia" w:ascii="仿宋_GB2312" w:hAnsi="宋体" w:eastAsia="仿宋_GB2312" w:cs="Times New Roman"/>
          <w:sz w:val="32"/>
          <w:szCs w:val="32"/>
        </w:rPr>
        <w:t>，招标单位为山东</w:t>
      </w:r>
      <w:r>
        <w:rPr>
          <w:rFonts w:hint="eastAsia" w:ascii="仿宋_GB2312" w:hAnsi="宋体" w:eastAsia="仿宋_GB2312" w:cs="Times New Roman"/>
          <w:sz w:val="32"/>
          <w:szCs w:val="32"/>
          <w:lang w:eastAsia="zh-CN"/>
        </w:rPr>
        <w:t>岱岳制盐</w:t>
      </w:r>
      <w:r>
        <w:rPr>
          <w:rFonts w:hint="eastAsia" w:ascii="仿宋_GB2312" w:hAnsi="宋体" w:eastAsia="仿宋_GB2312" w:cs="Times New Roman"/>
          <w:sz w:val="32"/>
          <w:szCs w:val="32"/>
        </w:rPr>
        <w:t>有限公司，该项目已具备条件，现对该项目</w:t>
      </w:r>
      <w:r>
        <w:rPr>
          <w:rFonts w:hint="eastAsia" w:ascii="仿宋_GB2312" w:hAnsi="宋体" w:eastAsia="仿宋_GB2312" w:cs="Times New Roman"/>
          <w:sz w:val="32"/>
          <w:szCs w:val="32"/>
          <w:lang w:eastAsia="zh-CN"/>
        </w:rPr>
        <w:t>维修施工</w:t>
      </w:r>
      <w:r>
        <w:rPr>
          <w:rFonts w:hint="eastAsia" w:ascii="仿宋_GB2312" w:hAnsi="宋体" w:eastAsia="仿宋_GB2312" w:cs="Times New Roman"/>
          <w:sz w:val="32"/>
          <w:szCs w:val="32"/>
        </w:rPr>
        <w:t>进行</w:t>
      </w:r>
      <w:r>
        <w:rPr>
          <w:rFonts w:hint="eastAsia" w:ascii="仿宋_GB2312" w:hAnsi="宋体" w:eastAsia="仿宋_GB2312" w:cs="Times New Roman"/>
          <w:sz w:val="32"/>
          <w:szCs w:val="32"/>
          <w:lang w:eastAsia="zh-CN"/>
        </w:rPr>
        <w:t>询比价招标</w:t>
      </w:r>
      <w:r>
        <w:rPr>
          <w:rFonts w:hint="eastAsia" w:ascii="仿宋_GB2312" w:hAnsi="宋体" w:eastAsia="仿宋_GB2312" w:cs="Times New Roman"/>
          <w:sz w:val="32"/>
          <w:szCs w:val="32"/>
        </w:rPr>
        <w:t>。</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二、项目概况与招标范围</w:t>
      </w:r>
    </w:p>
    <w:p>
      <w:pPr>
        <w:ind w:firstLine="640" w:firstLineChars="200"/>
        <w:rPr>
          <w:rFonts w:hint="eastAsia" w:ascii="仿宋_GB2312" w:hAnsi="宋体" w:eastAsia="仿宋_GB2312" w:cs="Times New Roman"/>
          <w:sz w:val="32"/>
          <w:szCs w:val="32"/>
          <w:lang w:eastAsia="zh-CN"/>
        </w:rPr>
      </w:pPr>
      <w:r>
        <w:rPr>
          <w:rFonts w:hint="eastAsia" w:ascii="仿宋_GB2312" w:hAnsi="宋体" w:eastAsia="仿宋_GB2312" w:cs="Times New Roman"/>
          <w:sz w:val="32"/>
          <w:szCs w:val="32"/>
          <w:lang w:val="en-US" w:eastAsia="zh-CN"/>
        </w:rPr>
        <w:t>1、</w:t>
      </w:r>
      <w:r>
        <w:rPr>
          <w:rFonts w:hint="eastAsia" w:ascii="仿宋_GB2312" w:hAnsi="宋体" w:eastAsia="仿宋_GB2312" w:cs="Times New Roman"/>
          <w:sz w:val="32"/>
          <w:szCs w:val="32"/>
          <w:lang w:eastAsia="zh-CN"/>
        </w:rPr>
        <w:t>项目名称：山东岱岳制盐有限公司制盐车间离心机配重块建设及基座改造项目</w:t>
      </w:r>
      <w:r>
        <w:rPr>
          <w:rFonts w:hint="eastAsia" w:ascii="仿宋_GB2312" w:hAnsi="宋体" w:eastAsia="仿宋_GB2312" w:cs="Times New Roman"/>
          <w:sz w:val="32"/>
          <w:szCs w:val="32"/>
          <w:lang w:val="en-US" w:eastAsia="zh-CN"/>
        </w:rPr>
        <w:t>。</w:t>
      </w:r>
    </w:p>
    <w:p>
      <w:pPr>
        <w:ind w:firstLine="640" w:firstLineChars="200"/>
        <w:rPr>
          <w:rFonts w:hint="eastAsia" w:ascii="仿宋_GB2312" w:hAnsi="宋体" w:eastAsia="仿宋_GB2312" w:cs="Times New Roman"/>
          <w:sz w:val="32"/>
          <w:szCs w:val="32"/>
          <w:lang w:eastAsia="zh-CN"/>
        </w:rPr>
      </w:pPr>
      <w:r>
        <w:rPr>
          <w:rFonts w:hint="eastAsia" w:ascii="仿宋_GB2312" w:hAnsi="宋体" w:eastAsia="仿宋_GB2312" w:cs="Times New Roman"/>
          <w:sz w:val="32"/>
          <w:szCs w:val="32"/>
          <w:lang w:eastAsia="zh-CN"/>
        </w:rPr>
        <w:t>2、项目地点：山东岱岳制盐有限公司制盐车间</w:t>
      </w:r>
      <w:r>
        <w:rPr>
          <w:rFonts w:hint="eastAsia" w:ascii="仿宋_GB2312" w:hAnsi="宋体" w:eastAsia="仿宋_GB2312" w:cs="Times New Roman"/>
          <w:sz w:val="32"/>
          <w:szCs w:val="32"/>
          <w:lang w:val="en-US" w:eastAsia="zh-CN"/>
        </w:rPr>
        <w:t>21m平台</w:t>
      </w:r>
      <w:r>
        <w:rPr>
          <w:rFonts w:hint="eastAsia" w:ascii="仿宋_GB2312" w:hAnsi="宋体" w:eastAsia="仿宋_GB2312" w:cs="Times New Roman"/>
          <w:sz w:val="32"/>
          <w:szCs w:val="32"/>
          <w:lang w:eastAsia="zh-CN"/>
        </w:rPr>
        <w:t>。</w:t>
      </w:r>
    </w:p>
    <w:p>
      <w:pPr>
        <w:ind w:firstLine="640" w:firstLineChars="200"/>
        <w:rPr>
          <w:rFonts w:hint="eastAsia" w:ascii="仿宋_GB2312" w:hAnsi="宋体" w:eastAsia="仿宋_GB2312" w:cs="Times New Roman"/>
          <w:sz w:val="32"/>
          <w:szCs w:val="32"/>
          <w:lang w:eastAsia="zh-CN"/>
        </w:rPr>
      </w:pPr>
      <w:r>
        <w:rPr>
          <w:rFonts w:hint="eastAsia" w:ascii="仿宋_GB2312" w:hAnsi="宋体" w:eastAsia="仿宋_GB2312" w:cs="Times New Roman"/>
          <w:sz w:val="32"/>
          <w:szCs w:val="32"/>
          <w:lang w:val="en-US" w:eastAsia="zh-CN"/>
        </w:rPr>
        <w:t>3、</w:t>
      </w:r>
      <w:r>
        <w:rPr>
          <w:rFonts w:hint="eastAsia" w:ascii="仿宋_GB2312" w:hAnsi="宋体" w:eastAsia="仿宋_GB2312" w:cs="Times New Roman"/>
          <w:sz w:val="32"/>
          <w:szCs w:val="32"/>
          <w:lang w:eastAsia="zh-CN"/>
        </w:rPr>
        <w:t>项目施工内容：</w:t>
      </w:r>
    </w:p>
    <w:p>
      <w:pPr>
        <w:spacing w:line="240" w:lineRule="auto"/>
        <w:ind w:firstLine="640" w:firstLineChars="200"/>
        <w:rPr>
          <w:rFonts w:hint="eastAsia" w:ascii="仿宋_GB2312" w:hAnsi="宋体" w:eastAsia="仿宋_GB2312" w:cs="Times New Roman"/>
          <w:b w:val="0"/>
          <w:i w:val="0"/>
          <w:caps w:val="0"/>
          <w:spacing w:val="0"/>
          <w:w w:val="100"/>
          <w:sz w:val="32"/>
          <w:szCs w:val="32"/>
          <w:lang w:val="en-US" w:eastAsia="zh-CN"/>
        </w:rPr>
      </w:pPr>
      <w:r>
        <w:rPr>
          <w:rFonts w:hint="eastAsia" w:ascii="仿宋_GB2312" w:hAnsi="宋体" w:eastAsia="仿宋_GB2312" w:cs="Times New Roman"/>
          <w:sz w:val="32"/>
          <w:szCs w:val="32"/>
          <w:lang w:val="en-US" w:eastAsia="zh-CN"/>
        </w:rPr>
        <w:t xml:space="preserve">3.1 </w:t>
      </w:r>
      <w:bookmarkStart w:id="0" w:name="OLE_LINK1"/>
      <w:r>
        <w:rPr>
          <w:rFonts w:hint="eastAsia" w:ascii="仿宋_GB2312" w:hAnsi="宋体" w:eastAsia="仿宋_GB2312" w:cs="Times New Roman"/>
          <w:sz w:val="32"/>
          <w:szCs w:val="32"/>
          <w:lang w:val="en-US" w:eastAsia="zh-CN"/>
        </w:rPr>
        <w:t>山东岱岳制盐有限公司</w:t>
      </w:r>
      <w:r>
        <w:rPr>
          <w:rFonts w:hint="eastAsia" w:ascii="仿宋_GB2312" w:hAnsi="宋体" w:eastAsia="仿宋_GB2312" w:cs="Times New Roman"/>
          <w:sz w:val="32"/>
          <w:szCs w:val="32"/>
          <w:lang w:eastAsia="zh-CN"/>
        </w:rPr>
        <w:t>制盐车间新</w:t>
      </w:r>
      <w:r>
        <w:rPr>
          <w:rFonts w:hint="eastAsia" w:ascii="仿宋_GB2312" w:hAnsi="宋体" w:eastAsia="仿宋_GB2312" w:cs="Times New Roman"/>
          <w:sz w:val="32"/>
          <w:szCs w:val="32"/>
          <w:lang w:val="en-US" w:eastAsia="zh-CN"/>
        </w:rPr>
        <w:t>P-100离心机配重块的建设及基座改造，</w:t>
      </w:r>
      <w:r>
        <w:rPr>
          <w:rFonts w:hint="eastAsia" w:ascii="仿宋_GB2312" w:hAnsi="宋体" w:eastAsia="仿宋_GB2312" w:cs="Times New Roman"/>
          <w:b w:val="0"/>
          <w:i w:val="0"/>
          <w:caps w:val="0"/>
          <w:spacing w:val="0"/>
          <w:w w:val="100"/>
          <w:sz w:val="32"/>
          <w:szCs w:val="32"/>
          <w:lang w:val="en-US" w:eastAsia="zh-CN"/>
        </w:rPr>
        <w:t>为交钥匙工程；</w:t>
      </w:r>
    </w:p>
    <w:p>
      <w:pPr>
        <w:spacing w:line="240" w:lineRule="auto"/>
        <w:ind w:firstLine="640" w:firstLineChars="200"/>
        <w:rPr>
          <w:rFonts w:hint="eastAsia" w:ascii="仿宋_GB2312" w:hAnsi="宋体" w:eastAsia="仿宋_GB2312" w:cs="Times New Roman"/>
          <w:b w:val="0"/>
          <w:i w:val="0"/>
          <w:caps w:val="0"/>
          <w:spacing w:val="0"/>
          <w:w w:val="100"/>
          <w:sz w:val="32"/>
          <w:szCs w:val="32"/>
          <w:lang w:val="en-US" w:eastAsia="zh-CN"/>
        </w:rPr>
      </w:pPr>
      <w:r>
        <w:rPr>
          <w:rFonts w:hint="eastAsia" w:ascii="仿宋_GB2312" w:hAnsi="宋体" w:eastAsia="仿宋_GB2312" w:cs="Times New Roman"/>
          <w:sz w:val="32"/>
          <w:szCs w:val="32"/>
          <w:lang w:val="en-US" w:eastAsia="zh-CN"/>
        </w:rPr>
        <w:t xml:space="preserve">3.2 </w:t>
      </w:r>
      <w:r>
        <w:rPr>
          <w:rFonts w:hint="eastAsia" w:ascii="仿宋_GB2312" w:hAnsi="宋体" w:eastAsia="仿宋_GB2312" w:cs="Times New Roman"/>
          <w:sz w:val="32"/>
          <w:szCs w:val="32"/>
          <w:lang w:eastAsia="zh-CN"/>
        </w:rPr>
        <w:t>制盐车间新</w:t>
      </w:r>
      <w:r>
        <w:rPr>
          <w:rFonts w:hint="eastAsia" w:ascii="仿宋_GB2312" w:hAnsi="宋体" w:eastAsia="仿宋_GB2312" w:cs="Times New Roman"/>
          <w:sz w:val="32"/>
          <w:szCs w:val="32"/>
          <w:lang w:val="en-US" w:eastAsia="zh-CN"/>
        </w:rPr>
        <w:t>P-100离心机配重块建设</w:t>
      </w:r>
      <w:r>
        <w:rPr>
          <w:rFonts w:hint="eastAsia" w:ascii="仿宋_GB2312" w:hAnsi="宋体" w:eastAsia="仿宋_GB2312" w:cs="Times New Roman"/>
          <w:sz w:val="32"/>
          <w:szCs w:val="32"/>
          <w:lang w:eastAsia="zh-CN"/>
        </w:rPr>
        <w:t>项目</w:t>
      </w:r>
      <w:r>
        <w:rPr>
          <w:rFonts w:hint="eastAsia" w:ascii="仿宋_GB2312" w:hAnsi="宋体" w:eastAsia="仿宋_GB2312" w:cs="Times New Roman"/>
          <w:b w:val="0"/>
          <w:i w:val="0"/>
          <w:caps w:val="0"/>
          <w:spacing w:val="0"/>
          <w:w w:val="100"/>
          <w:sz w:val="32"/>
          <w:szCs w:val="32"/>
          <w:lang w:val="en-US" w:eastAsia="zh-CN"/>
        </w:rPr>
        <w:t>：</w:t>
      </w:r>
    </w:p>
    <w:p>
      <w:pPr>
        <w:numPr>
          <w:ilvl w:val="-1"/>
          <w:numId w:val="0"/>
        </w:numPr>
        <w:bidi w:val="0"/>
        <w:spacing w:line="240" w:lineRule="auto"/>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3.2.1 新P-100离心机配重块总长2700mm，宽2050mm，高500mm，采用C30混凝土浇筑，共计需浇筑约2.76m³；</w:t>
      </w:r>
    </w:p>
    <w:p>
      <w:pPr>
        <w:snapToGrid/>
        <w:spacing w:before="0" w:beforeAutospacing="0" w:after="0" w:afterAutospacing="0" w:line="240" w:lineRule="auto"/>
        <w:ind w:left="0" w:leftChars="0" w:firstLine="640" w:firstLineChars="200"/>
        <w:jc w:val="both"/>
        <w:textAlignment w:val="baseline"/>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3.2.2 配重块上部找平后要求表面光滑平整，并预留10个地脚螺栓孔，配重块下部预埋1张框架板，基座预埋1张框架板及预留10个地脚螺栓孔，</w:t>
      </w:r>
      <w:r>
        <w:rPr>
          <w:rFonts w:hint="eastAsia" w:ascii="仿宋_GB2312" w:hAnsi="宋体" w:eastAsia="仿宋_GB2312" w:cs="Times New Roman"/>
          <w:sz w:val="32"/>
          <w:szCs w:val="32"/>
        </w:rPr>
        <w:t>水平度控制在每1m</w:t>
      </w:r>
      <w:r>
        <w:rPr>
          <w:rFonts w:ascii="仿宋_GB2312" w:hAnsi="宋体" w:eastAsia="仿宋_GB2312" w:cs="Times New Roman"/>
          <w:sz w:val="32"/>
          <w:szCs w:val="32"/>
        </w:rPr>
        <w:t>长度垂直</w:t>
      </w:r>
      <w:r>
        <w:rPr>
          <w:rFonts w:hint="eastAsia" w:ascii="仿宋_GB2312" w:hAnsi="宋体" w:eastAsia="仿宋_GB2312" w:cs="Times New Roman"/>
          <w:sz w:val="32"/>
          <w:szCs w:val="32"/>
        </w:rPr>
        <w:t>±</w:t>
      </w:r>
      <w:r>
        <w:rPr>
          <w:rFonts w:ascii="仿宋_GB2312" w:hAnsi="宋体" w:eastAsia="仿宋_GB2312" w:cs="Times New Roman"/>
          <w:sz w:val="32"/>
          <w:szCs w:val="32"/>
        </w:rPr>
        <w:t>3mm</w:t>
      </w:r>
      <w:r>
        <w:rPr>
          <w:rFonts w:hint="eastAsia" w:ascii="仿宋_GB2312" w:hAnsi="宋体" w:eastAsia="仿宋_GB2312" w:cs="Times New Roman"/>
          <w:sz w:val="32"/>
          <w:szCs w:val="32"/>
          <w:lang w:eastAsia="zh-CN"/>
        </w:rPr>
        <w:t>，</w:t>
      </w:r>
      <w:r>
        <w:rPr>
          <w:rFonts w:hint="eastAsia" w:ascii="仿宋_GB2312" w:hAnsi="宋体" w:eastAsia="仿宋_GB2312" w:cs="Times New Roman"/>
          <w:sz w:val="32"/>
          <w:szCs w:val="32"/>
          <w:lang w:val="en-US" w:eastAsia="zh-CN"/>
        </w:rPr>
        <w:t>框架板尺寸与配重块尺寸一致；</w:t>
      </w:r>
    </w:p>
    <w:p>
      <w:pPr>
        <w:numPr>
          <w:ilvl w:val="0"/>
          <w:numId w:val="0"/>
        </w:numPr>
        <w:snapToGrid/>
        <w:spacing w:before="0" w:beforeAutospacing="0" w:after="0" w:afterAutospacing="0" w:line="240" w:lineRule="auto"/>
        <w:ind w:left="0" w:leftChars="0" w:firstLine="640" w:firstLineChars="200"/>
        <w:jc w:val="both"/>
        <w:textAlignment w:val="baseline"/>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3.2.3 配重块上部有10套地脚螺栓固定离心机主机与电机，需待离心机装配地脚螺栓并放置到配重块上调平后对预留地脚螺栓孔进行二次灌浆；</w:t>
      </w:r>
    </w:p>
    <w:p>
      <w:pPr>
        <w:numPr>
          <w:ilvl w:val="0"/>
          <w:numId w:val="0"/>
        </w:numPr>
        <w:snapToGrid/>
        <w:spacing w:before="0" w:beforeAutospacing="0" w:after="0" w:afterAutospacing="0" w:line="240" w:lineRule="auto"/>
        <w:ind w:left="0" w:leftChars="0" w:firstLine="640" w:firstLineChars="200"/>
        <w:jc w:val="both"/>
        <w:textAlignment w:val="baseline"/>
        <w:rPr>
          <w:rFonts w:hint="eastAsia" w:ascii="仿宋_GB2312" w:hAnsi="宋体" w:eastAsia="仿宋_GB2312" w:cs="Times New Roman"/>
          <w:b w:val="0"/>
          <w:bCs w:val="0"/>
          <w:sz w:val="32"/>
          <w:szCs w:val="32"/>
          <w:u w:val="none"/>
          <w:lang w:val="en-US" w:eastAsia="zh-CN"/>
        </w:rPr>
      </w:pPr>
      <w:r>
        <w:rPr>
          <w:rFonts w:hint="eastAsia" w:ascii="仿宋_GB2312" w:hAnsi="宋体" w:eastAsia="仿宋_GB2312" w:cs="Times New Roman"/>
          <w:b w:val="0"/>
          <w:bCs w:val="0"/>
          <w:sz w:val="32"/>
          <w:szCs w:val="32"/>
          <w:u w:val="none"/>
          <w:lang w:val="en-US" w:eastAsia="zh-CN"/>
        </w:rPr>
        <w:t>3.2.4 配重块下部预埋框架板及基座预埋框架板均为15mm厚，框架板之间共计有20套橡胶缓震垫及上下各10套地脚螺栓，配重块下部</w:t>
      </w:r>
      <w:r>
        <w:rPr>
          <w:rFonts w:hint="eastAsia" w:ascii="仿宋_GB2312" w:hAnsi="宋体" w:eastAsia="仿宋_GB2312" w:cs="Times New Roman"/>
          <w:sz w:val="32"/>
          <w:szCs w:val="32"/>
          <w:lang w:val="en-US" w:eastAsia="zh-CN"/>
        </w:rPr>
        <w:t>框架板上紧固10套地脚螺栓后与配重块一同浇筑，</w:t>
      </w:r>
      <w:r>
        <w:rPr>
          <w:rFonts w:hint="eastAsia" w:ascii="仿宋_GB2312" w:hAnsi="宋体" w:eastAsia="仿宋_GB2312" w:cs="Times New Roman"/>
          <w:b w:val="0"/>
          <w:bCs w:val="0"/>
          <w:sz w:val="32"/>
          <w:szCs w:val="32"/>
          <w:u w:val="none"/>
          <w:lang w:val="en-US" w:eastAsia="zh-CN"/>
        </w:rPr>
        <w:t>基座上需预留有10个地脚螺栓孔，待上部离心机、配重块、框架板及地脚螺栓等设备装配到位并调平后进行二次灌浆并灌注饱满，详见下图及附件</w:t>
      </w:r>
      <w:r>
        <w:rPr>
          <w:rFonts w:hint="eastAsia" w:ascii="仿宋_GB2312" w:hAnsi="宋体" w:eastAsia="仿宋_GB2312" w:cs="Times New Roman"/>
          <w:b w:val="0"/>
          <w:bCs w:val="0"/>
          <w:sz w:val="32"/>
          <w:szCs w:val="32"/>
          <w:u w:val="none"/>
          <w:lang w:val="en-US" w:eastAsia="zh-CN"/>
        </w:rPr>
        <w:object>
          <v:shape id="_x0000_i1025" o:spt="75" type="#_x0000_t75" style="height:66pt;width:72.7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r>
        <w:rPr>
          <w:rFonts w:hint="eastAsia" w:ascii="仿宋_GB2312" w:hAnsi="宋体" w:eastAsia="仿宋_GB2312" w:cs="Times New Roman"/>
          <w:b w:val="0"/>
          <w:bCs w:val="0"/>
          <w:sz w:val="32"/>
          <w:szCs w:val="32"/>
          <w:u w:val="none"/>
          <w:lang w:val="en-US" w:eastAsia="zh-CN"/>
        </w:rPr>
        <w:t>；</w:t>
      </w:r>
    </w:p>
    <w:p>
      <w:pPr>
        <w:numPr>
          <w:ilvl w:val="0"/>
          <w:numId w:val="0"/>
        </w:numPr>
        <w:spacing w:before="0" w:after="0" w:line="240" w:lineRule="auto"/>
        <w:jc w:val="center"/>
        <w:textAlignment w:val="baseline"/>
        <w:rPr>
          <w:rFonts w:hint="default" w:ascii="仿宋_GB2312" w:hAnsi="宋体" w:eastAsia="仿宋_GB2312" w:cs="Times New Roman"/>
          <w:b w:val="0"/>
          <w:bCs w:val="0"/>
          <w:sz w:val="32"/>
          <w:szCs w:val="32"/>
          <w:u w:val="none"/>
          <w:lang w:val="en-US" w:eastAsia="zh-CN"/>
        </w:rPr>
      </w:pPr>
      <w:r>
        <w:rPr>
          <w:rFonts w:hint="eastAsia" w:ascii="仿宋_GB2312" w:hAnsi="宋体" w:eastAsia="仿宋_GB2312" w:cs="Times New Roman"/>
          <w:b w:val="0"/>
          <w:bCs w:val="0"/>
          <w:sz w:val="32"/>
          <w:szCs w:val="32"/>
          <w:u w:val="none"/>
          <w:lang w:val="en-US" w:eastAsia="zh-CN"/>
        </w:rPr>
        <w:drawing>
          <wp:inline distT="0" distB="0" distL="114300" distR="114300">
            <wp:extent cx="5539740" cy="3571875"/>
            <wp:effectExtent l="0" t="0" r="3810" b="9525"/>
            <wp:docPr id="1" name="图片 1" descr="a63b8e464b4eb561762726090c7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63b8e464b4eb561762726090c74554"/>
                    <pic:cNvPicPr>
                      <a:picLocks noChangeAspect="1"/>
                    </pic:cNvPicPr>
                  </pic:nvPicPr>
                  <pic:blipFill>
                    <a:blip r:embed="rId7"/>
                    <a:stretch>
                      <a:fillRect/>
                    </a:stretch>
                  </pic:blipFill>
                  <pic:spPr>
                    <a:xfrm>
                      <a:off x="0" y="0"/>
                      <a:ext cx="5539740" cy="3571875"/>
                    </a:xfrm>
                    <a:prstGeom prst="rect">
                      <a:avLst/>
                    </a:prstGeom>
                  </pic:spPr>
                </pic:pic>
              </a:graphicData>
            </a:graphic>
          </wp:inline>
        </w:drawing>
      </w:r>
      <w:r>
        <w:rPr>
          <w:rFonts w:hint="eastAsia" w:ascii="仿宋_GB2312" w:hAnsi="宋体" w:eastAsia="仿宋_GB2312" w:cs="Times New Roman"/>
          <w:b w:val="0"/>
          <w:bCs w:val="0"/>
          <w:sz w:val="32"/>
          <w:szCs w:val="32"/>
          <w:u w:val="none"/>
          <w:lang w:val="en-US" w:eastAsia="zh-CN"/>
        </w:rPr>
        <w:t>P-100离心机纵向视图</w:t>
      </w:r>
    </w:p>
    <w:p>
      <w:pPr>
        <w:numPr>
          <w:ilvl w:val="0"/>
          <w:numId w:val="0"/>
        </w:numPr>
        <w:spacing w:before="0" w:after="0" w:line="240" w:lineRule="auto"/>
        <w:textAlignment w:val="baseline"/>
        <w:rPr>
          <w:rFonts w:hint="eastAsia" w:ascii="仿宋_GB2312" w:hAnsi="宋体" w:eastAsia="仿宋_GB2312" w:cs="Times New Roman"/>
          <w:b w:val="0"/>
          <w:bCs w:val="0"/>
          <w:sz w:val="32"/>
          <w:szCs w:val="32"/>
          <w:u w:val="none"/>
          <w:lang w:val="en-US" w:eastAsia="zh-CN"/>
        </w:rPr>
      </w:pPr>
      <w:r>
        <w:rPr>
          <w:rFonts w:hint="eastAsia" w:ascii="仿宋_GB2312" w:hAnsi="宋体" w:eastAsia="仿宋_GB2312" w:cs="Times New Roman"/>
          <w:b w:val="0"/>
          <w:bCs w:val="0"/>
          <w:sz w:val="32"/>
          <w:szCs w:val="32"/>
          <w:u w:val="none"/>
          <w:lang w:val="en-US" w:eastAsia="zh-CN"/>
        </w:rPr>
        <w:drawing>
          <wp:inline distT="0" distB="0" distL="114300" distR="114300">
            <wp:extent cx="5544820" cy="3507740"/>
            <wp:effectExtent l="0" t="0" r="17780" b="16510"/>
            <wp:docPr id="2" name="图片 2" descr="2e30565933a3cebef512785a1b0b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e30565933a3cebef512785a1b0b5f0"/>
                    <pic:cNvPicPr>
                      <a:picLocks noChangeAspect="1"/>
                    </pic:cNvPicPr>
                  </pic:nvPicPr>
                  <pic:blipFill>
                    <a:blip r:embed="rId8"/>
                    <a:stretch>
                      <a:fillRect/>
                    </a:stretch>
                  </pic:blipFill>
                  <pic:spPr>
                    <a:xfrm>
                      <a:off x="0" y="0"/>
                      <a:ext cx="5544820" cy="3507740"/>
                    </a:xfrm>
                    <a:prstGeom prst="rect">
                      <a:avLst/>
                    </a:prstGeom>
                  </pic:spPr>
                </pic:pic>
              </a:graphicData>
            </a:graphic>
          </wp:inline>
        </w:drawing>
      </w:r>
    </w:p>
    <w:p>
      <w:pPr>
        <w:numPr>
          <w:ilvl w:val="0"/>
          <w:numId w:val="0"/>
        </w:numPr>
        <w:spacing w:before="0" w:after="0" w:line="240" w:lineRule="auto"/>
        <w:jc w:val="center"/>
        <w:textAlignment w:val="baseline"/>
        <w:rPr>
          <w:rFonts w:hint="eastAsia" w:ascii="仿宋_GB2312" w:hAnsi="宋体" w:eastAsia="仿宋_GB2312" w:cs="Times New Roman"/>
          <w:b w:val="0"/>
          <w:bCs w:val="0"/>
          <w:sz w:val="32"/>
          <w:szCs w:val="32"/>
          <w:u w:val="none"/>
          <w:lang w:val="en-US" w:eastAsia="zh-CN"/>
        </w:rPr>
      </w:pPr>
      <w:r>
        <w:rPr>
          <w:rFonts w:hint="eastAsia" w:ascii="仿宋_GB2312" w:hAnsi="宋体" w:eastAsia="仿宋_GB2312" w:cs="Times New Roman"/>
          <w:b w:val="0"/>
          <w:bCs w:val="0"/>
          <w:sz w:val="32"/>
          <w:szCs w:val="32"/>
          <w:u w:val="none"/>
          <w:lang w:val="en-US" w:eastAsia="zh-CN"/>
        </w:rPr>
        <w:t>俯视图</w:t>
      </w:r>
    </w:p>
    <w:p>
      <w:pPr>
        <w:numPr>
          <w:ilvl w:val="0"/>
          <w:numId w:val="0"/>
        </w:numPr>
        <w:spacing w:before="0" w:after="0" w:line="240" w:lineRule="auto"/>
        <w:ind w:firstLine="640" w:firstLineChars="200"/>
        <w:jc w:val="left"/>
        <w:textAlignment w:val="baseline"/>
        <w:rPr>
          <w:rFonts w:hint="eastAsia" w:ascii="仿宋_GB2312" w:hAnsi="宋体" w:eastAsia="仿宋_GB2312" w:cs="Times New Roman"/>
          <w:b w:val="0"/>
          <w:bCs w:val="0"/>
          <w:sz w:val="32"/>
          <w:szCs w:val="32"/>
          <w:lang w:val="en-US" w:eastAsia="zh-CN"/>
        </w:rPr>
      </w:pPr>
      <w:r>
        <w:rPr>
          <w:rFonts w:hint="eastAsia" w:ascii="仿宋_GB2312" w:hAnsi="宋体" w:eastAsia="仿宋_GB2312" w:cs="Times New Roman"/>
          <w:b w:val="0"/>
          <w:bCs w:val="0"/>
          <w:sz w:val="32"/>
          <w:szCs w:val="32"/>
          <w:u w:val="none"/>
          <w:lang w:val="en-US" w:eastAsia="zh-CN"/>
        </w:rPr>
        <w:t>3.2.5 基座及配重块下部框架板地脚</w:t>
      </w:r>
      <w:r>
        <w:rPr>
          <w:rFonts w:hint="eastAsia" w:ascii="仿宋_GB2312" w:hAnsi="宋体" w:eastAsia="仿宋_GB2312" w:cs="Times New Roman"/>
          <w:b w:val="0"/>
          <w:bCs w:val="0"/>
          <w:sz w:val="32"/>
          <w:szCs w:val="32"/>
          <w:lang w:val="en-US" w:eastAsia="zh-CN"/>
        </w:rPr>
        <w:t>螺栓尺寸为M30*250mm，基座</w:t>
      </w:r>
      <w:r>
        <w:rPr>
          <w:rFonts w:hint="eastAsia" w:ascii="仿宋_GB2312" w:hAnsi="宋体" w:eastAsia="仿宋_GB2312" w:cs="Times New Roman"/>
          <w:b w:val="0"/>
          <w:bCs w:val="0"/>
          <w:sz w:val="32"/>
          <w:szCs w:val="32"/>
          <w:u w:val="none"/>
          <w:lang w:val="en-US" w:eastAsia="zh-CN"/>
        </w:rPr>
        <w:t>预留地脚螺栓孔尺寸为φ120mm，长250mm，待地脚螺栓放置到位后进行二次灌浆并灌注饱满，地脚螺栓及预留孔具体尺寸详见下图</w:t>
      </w:r>
      <w:r>
        <w:rPr>
          <w:rFonts w:hint="eastAsia" w:ascii="仿宋_GB2312" w:hAnsi="宋体" w:eastAsia="仿宋_GB2312" w:cs="Times New Roman"/>
          <w:b w:val="0"/>
          <w:bCs w:val="0"/>
          <w:sz w:val="32"/>
          <w:szCs w:val="32"/>
          <w:lang w:val="en-US" w:eastAsia="zh-CN"/>
        </w:rPr>
        <w:t>；</w:t>
      </w:r>
    </w:p>
    <w:p>
      <w:pPr>
        <w:numPr>
          <w:ilvl w:val="0"/>
          <w:numId w:val="0"/>
        </w:numPr>
        <w:spacing w:before="0" w:after="0" w:line="240" w:lineRule="auto"/>
        <w:textAlignment w:val="baseline"/>
        <w:rPr>
          <w:rFonts w:hint="default"/>
          <w:lang w:val="en-US" w:eastAsia="zh-CN"/>
        </w:rPr>
      </w:pPr>
      <w:r>
        <w:rPr>
          <w:rFonts w:hint="eastAsia" w:ascii="仿宋_GB2312" w:hAnsi="宋体" w:eastAsia="仿宋_GB2312" w:cs="Times New Roman"/>
          <w:b w:val="0"/>
          <w:bCs w:val="0"/>
          <w:sz w:val="32"/>
          <w:szCs w:val="32"/>
          <w:lang w:val="en-US" w:eastAsia="zh-CN"/>
        </w:rPr>
        <w:t xml:space="preserve"> </w:t>
      </w:r>
      <w:r>
        <w:rPr>
          <w:rFonts w:hint="eastAsia"/>
          <w:lang w:val="en-US" w:eastAsia="zh-CN"/>
        </w:rPr>
        <w:t xml:space="preserve">  </w:t>
      </w:r>
      <w:r>
        <w:drawing>
          <wp:inline distT="0" distB="0" distL="114300" distR="114300">
            <wp:extent cx="3276600" cy="3072130"/>
            <wp:effectExtent l="0" t="0" r="0" b="1397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3276600" cy="3072130"/>
                    </a:xfrm>
                    <a:prstGeom prst="rect">
                      <a:avLst/>
                    </a:prstGeom>
                    <a:noFill/>
                    <a:ln>
                      <a:noFill/>
                    </a:ln>
                  </pic:spPr>
                </pic:pic>
              </a:graphicData>
            </a:graphic>
          </wp:inline>
        </w:drawing>
      </w:r>
    </w:p>
    <w:p>
      <w:pPr>
        <w:numPr>
          <w:ilvl w:val="0"/>
          <w:numId w:val="0"/>
        </w:numPr>
        <w:spacing w:before="0" w:after="0" w:line="240" w:lineRule="auto"/>
        <w:ind w:firstLine="640" w:firstLineChars="200"/>
        <w:textAlignment w:val="baseline"/>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3.2.6 配重块内部配筋详见下图及附件：</w:t>
      </w:r>
      <w:r>
        <w:rPr>
          <w:rFonts w:hint="eastAsia" w:ascii="仿宋_GB2312" w:hAnsi="宋体" w:eastAsia="仿宋_GB2312" w:cs="Times New Roman"/>
          <w:sz w:val="32"/>
          <w:szCs w:val="32"/>
          <w:lang w:val="en-US" w:eastAsia="zh-CN"/>
        </w:rPr>
        <w:object>
          <v:shape id="_x0000_i1026" o:spt="75" type="#_x0000_t75" style="height:66pt;width:72.75pt;" o:ole="t" filled="f" o:preferrelative="t" stroked="f" coordsize="21600,21600">
            <v:path/>
            <v:fill on="f" focussize="0,0"/>
            <v:stroke on="f"/>
            <v:imagedata r:id="rId11" o:title=""/>
            <o:lock v:ext="edit" aspectratio="t"/>
            <w10:wrap type="none"/>
            <w10:anchorlock/>
          </v:shape>
          <o:OLEObject Type="Embed" ProgID="Package" ShapeID="_x0000_i1026" DrawAspect="Icon" ObjectID="_1468075726" r:id="rId10">
            <o:LockedField>false</o:LockedField>
          </o:OLEObject>
        </w:object>
      </w:r>
    </w:p>
    <w:p>
      <w:pPr>
        <w:numPr>
          <w:ilvl w:val="0"/>
          <w:numId w:val="0"/>
        </w:numPr>
        <w:spacing w:before="0" w:after="0" w:line="240" w:lineRule="auto"/>
        <w:ind w:firstLine="420" w:firstLineChars="200"/>
        <w:textAlignment w:val="baseline"/>
      </w:pPr>
      <w:r>
        <w:drawing>
          <wp:inline distT="0" distB="0" distL="114300" distR="114300">
            <wp:extent cx="2527300" cy="4460240"/>
            <wp:effectExtent l="0" t="0" r="6350" b="165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
                    <a:stretch>
                      <a:fillRect/>
                    </a:stretch>
                  </pic:blipFill>
                  <pic:spPr>
                    <a:xfrm>
                      <a:off x="0" y="0"/>
                      <a:ext cx="2527300" cy="4460240"/>
                    </a:xfrm>
                    <a:prstGeom prst="rect">
                      <a:avLst/>
                    </a:prstGeom>
                    <a:noFill/>
                    <a:ln>
                      <a:noFill/>
                    </a:ln>
                  </pic:spPr>
                </pic:pic>
              </a:graphicData>
            </a:graphic>
          </wp:inline>
        </w:drawing>
      </w:r>
      <w:r>
        <w:drawing>
          <wp:inline distT="0" distB="0" distL="114300" distR="114300">
            <wp:extent cx="2647950" cy="4460875"/>
            <wp:effectExtent l="0" t="0" r="0" b="1587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2647950" cy="4460875"/>
                    </a:xfrm>
                    <a:prstGeom prst="rect">
                      <a:avLst/>
                    </a:prstGeom>
                    <a:noFill/>
                    <a:ln>
                      <a:noFill/>
                    </a:ln>
                  </pic:spPr>
                </pic:pic>
              </a:graphicData>
            </a:graphic>
          </wp:inline>
        </w:drawing>
      </w:r>
      <w:r>
        <w:drawing>
          <wp:inline distT="0" distB="0" distL="114300" distR="114300">
            <wp:extent cx="5542280" cy="2804795"/>
            <wp:effectExtent l="0" t="0" r="1270" b="1460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5542280" cy="2804795"/>
                    </a:xfrm>
                    <a:prstGeom prst="rect">
                      <a:avLst/>
                    </a:prstGeom>
                    <a:noFill/>
                    <a:ln>
                      <a:noFill/>
                    </a:ln>
                  </pic:spPr>
                </pic:pic>
              </a:graphicData>
            </a:graphic>
          </wp:inline>
        </w:drawing>
      </w:r>
    </w:p>
    <w:p>
      <w:pPr>
        <w:numPr>
          <w:ilvl w:val="0"/>
          <w:numId w:val="0"/>
        </w:numPr>
        <w:spacing w:before="0" w:after="0" w:line="240" w:lineRule="auto"/>
        <w:ind w:firstLine="420" w:firstLineChars="200"/>
        <w:textAlignment w:val="baseline"/>
        <w:rPr>
          <w:rFonts w:hint="default"/>
          <w:lang w:val="en-US" w:eastAsia="zh-CN"/>
        </w:rPr>
      </w:pPr>
      <w:r>
        <w:drawing>
          <wp:inline distT="0" distB="0" distL="114300" distR="114300">
            <wp:extent cx="5541010" cy="4645660"/>
            <wp:effectExtent l="0" t="0" r="2540" b="25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5541010" cy="4645660"/>
                    </a:xfrm>
                    <a:prstGeom prst="rect">
                      <a:avLst/>
                    </a:prstGeom>
                    <a:noFill/>
                    <a:ln>
                      <a:noFill/>
                    </a:ln>
                  </pic:spPr>
                </pic:pic>
              </a:graphicData>
            </a:graphic>
          </wp:inline>
        </w:drawing>
      </w:r>
    </w:p>
    <w:p>
      <w:pPr>
        <w:numPr>
          <w:ilvl w:val="0"/>
          <w:numId w:val="0"/>
        </w:numPr>
        <w:snapToGrid/>
        <w:spacing w:before="0" w:beforeAutospacing="0" w:after="0" w:afterAutospacing="0" w:line="240" w:lineRule="auto"/>
        <w:ind w:firstLine="640" w:firstLineChars="200"/>
        <w:jc w:val="both"/>
        <w:textAlignment w:val="baseline"/>
        <w:rPr>
          <w:rFonts w:hint="eastAsia" w:ascii="仿宋_GB2312" w:hAnsi="宋体" w:eastAsia="仿宋_GB2312" w:cs="Times New Roman"/>
          <w:b w:val="0"/>
          <w:bCs w:val="0"/>
          <w:i w:val="0"/>
          <w:iCs w:val="0"/>
          <w:kern w:val="2"/>
          <w:sz w:val="32"/>
          <w:szCs w:val="32"/>
          <w:u w:val="none"/>
          <w:lang w:val="en-US" w:eastAsia="zh-CN" w:bidi="ar-SA"/>
        </w:rPr>
      </w:pPr>
      <w:r>
        <w:rPr>
          <w:rFonts w:hint="eastAsia" w:ascii="仿宋_GB2312" w:hAnsi="宋体" w:eastAsia="仿宋_GB2312" w:cs="Times New Roman"/>
          <w:b w:val="0"/>
          <w:bCs w:val="0"/>
          <w:i w:val="0"/>
          <w:caps w:val="0"/>
          <w:spacing w:val="0"/>
          <w:w w:val="100"/>
          <w:sz w:val="32"/>
          <w:szCs w:val="32"/>
          <w:u w:val="none"/>
          <w:lang w:val="en-US" w:eastAsia="zh-CN"/>
        </w:rPr>
        <w:t>3</w:t>
      </w:r>
      <w:bookmarkEnd w:id="0"/>
      <w:r>
        <w:rPr>
          <w:rFonts w:hint="eastAsia" w:ascii="仿宋_GB2312" w:hAnsi="宋体" w:eastAsia="仿宋_GB2312" w:cs="Times New Roman"/>
          <w:b w:val="0"/>
          <w:bCs w:val="0"/>
          <w:i w:val="0"/>
          <w:iCs w:val="0"/>
          <w:color w:val="auto"/>
          <w:kern w:val="2"/>
          <w:sz w:val="32"/>
          <w:szCs w:val="32"/>
          <w:u w:val="none"/>
          <w:lang w:val="en-US" w:eastAsia="zh-CN" w:bidi="ar-SA"/>
        </w:rPr>
        <w:t>.</w:t>
      </w:r>
      <w:r>
        <w:rPr>
          <w:rFonts w:hint="eastAsia" w:ascii="仿宋_GB2312" w:hAnsi="宋体" w:eastAsia="仿宋_GB2312" w:cs="Times New Roman"/>
          <w:b w:val="0"/>
          <w:bCs w:val="0"/>
          <w:i w:val="0"/>
          <w:iCs w:val="0"/>
          <w:kern w:val="2"/>
          <w:sz w:val="32"/>
          <w:szCs w:val="32"/>
          <w:u w:val="none"/>
          <w:lang w:val="en-US" w:eastAsia="zh-CN" w:bidi="ar-SA"/>
        </w:rPr>
        <w:t>3</w:t>
      </w:r>
      <w:r>
        <w:rPr>
          <w:rFonts w:hint="eastAsia" w:ascii="仿宋_GB2312" w:hAnsi="宋体" w:eastAsia="仿宋_GB2312" w:cs="Times New Roman"/>
          <w:b w:val="0"/>
          <w:bCs w:val="0"/>
          <w:i w:val="0"/>
          <w:iCs w:val="0"/>
          <w:color w:val="auto"/>
          <w:kern w:val="2"/>
          <w:sz w:val="32"/>
          <w:szCs w:val="32"/>
          <w:u w:val="none"/>
          <w:lang w:val="en-US" w:eastAsia="zh-CN" w:bidi="ar-SA"/>
        </w:rPr>
        <w:t xml:space="preserve"> </w:t>
      </w:r>
      <w:r>
        <w:rPr>
          <w:rFonts w:hint="eastAsia" w:ascii="仿宋_GB2312" w:hAnsi="宋体" w:eastAsia="仿宋_GB2312" w:cs="Times New Roman"/>
          <w:b w:val="0"/>
          <w:bCs w:val="0"/>
          <w:i w:val="0"/>
          <w:iCs w:val="0"/>
          <w:kern w:val="2"/>
          <w:sz w:val="32"/>
          <w:szCs w:val="32"/>
          <w:u w:val="none"/>
          <w:lang w:val="en-US" w:eastAsia="zh-CN" w:bidi="ar-SA"/>
        </w:rPr>
        <w:t>新离心机</w:t>
      </w:r>
      <w:r>
        <w:rPr>
          <w:rFonts w:hint="eastAsia" w:ascii="仿宋_GB2312" w:hAnsi="宋体" w:eastAsia="仿宋_GB2312" w:cs="Times New Roman"/>
          <w:b w:val="0"/>
          <w:bCs w:val="0"/>
          <w:sz w:val="32"/>
          <w:szCs w:val="32"/>
          <w:u w:val="none"/>
          <w:lang w:val="en-US" w:eastAsia="zh-CN"/>
        </w:rPr>
        <w:t>基座改造</w:t>
      </w:r>
      <w:r>
        <w:rPr>
          <w:rFonts w:hint="eastAsia" w:ascii="仿宋_GB2312" w:hAnsi="宋体" w:eastAsia="仿宋_GB2312" w:cs="Times New Roman"/>
          <w:b w:val="0"/>
          <w:bCs w:val="0"/>
          <w:sz w:val="32"/>
          <w:szCs w:val="32"/>
          <w:lang w:val="en-US" w:eastAsia="zh-CN"/>
        </w:rPr>
        <w:t>：</w:t>
      </w:r>
    </w:p>
    <w:p>
      <w:pPr>
        <w:numPr>
          <w:ilvl w:val="0"/>
          <w:numId w:val="0"/>
        </w:numPr>
        <w:snapToGrid/>
        <w:spacing w:before="0" w:beforeAutospacing="0" w:after="0" w:afterAutospacing="0" w:line="240" w:lineRule="auto"/>
        <w:ind w:firstLine="640" w:firstLineChars="200"/>
        <w:jc w:val="both"/>
        <w:textAlignment w:val="baseline"/>
        <w:rPr>
          <w:rFonts w:hint="eastAsia" w:ascii="仿宋_GB2312" w:hAnsi="宋体" w:eastAsia="仿宋_GB2312" w:cs="Times New Roman"/>
          <w:sz w:val="32"/>
          <w:szCs w:val="32"/>
          <w:lang w:val="en-US" w:eastAsia="zh-CN"/>
        </w:rPr>
      </w:pPr>
      <w:r>
        <w:rPr>
          <w:rFonts w:hint="eastAsia" w:ascii="仿宋_GB2312" w:hAnsi="宋体" w:eastAsia="仿宋_GB2312" w:cs="Times New Roman"/>
          <w:b w:val="0"/>
          <w:bCs w:val="0"/>
          <w:i w:val="0"/>
          <w:caps w:val="0"/>
          <w:spacing w:val="0"/>
          <w:w w:val="100"/>
          <w:kern w:val="2"/>
          <w:sz w:val="32"/>
          <w:szCs w:val="32"/>
          <w:u w:val="none"/>
          <w:lang w:val="en-US" w:eastAsia="zh-CN" w:bidi="ar-SA"/>
        </w:rPr>
        <w:t>3.3.1 现有离心机基座长为2500mm，宽为2230mm，高为300   mm，新离心机基座长为</w:t>
      </w:r>
      <w:r>
        <w:rPr>
          <w:rFonts w:hint="eastAsia" w:ascii="仿宋_GB2312" w:hAnsi="宋体" w:eastAsia="仿宋_GB2312" w:cs="Times New Roman"/>
          <w:sz w:val="32"/>
          <w:szCs w:val="32"/>
          <w:lang w:val="en-US" w:eastAsia="zh-CN"/>
        </w:rPr>
        <w:t>3100</w:t>
      </w:r>
      <w:r>
        <w:rPr>
          <w:rFonts w:hint="eastAsia" w:ascii="仿宋_GB2312" w:hAnsi="宋体" w:eastAsia="仿宋_GB2312" w:cs="Times New Roman"/>
          <w:b w:val="0"/>
          <w:bCs w:val="0"/>
          <w:i w:val="0"/>
          <w:caps w:val="0"/>
          <w:spacing w:val="0"/>
          <w:w w:val="100"/>
          <w:kern w:val="2"/>
          <w:sz w:val="32"/>
          <w:szCs w:val="32"/>
          <w:u w:val="none"/>
          <w:lang w:val="en-US" w:eastAsia="zh-CN" w:bidi="ar-SA"/>
        </w:rPr>
        <w:t>m</w:t>
      </w:r>
      <w:r>
        <w:rPr>
          <w:rFonts w:hint="eastAsia" w:ascii="仿宋_GB2312" w:hAnsi="宋体" w:eastAsia="仿宋_GB2312" w:cs="Times New Roman"/>
          <w:sz w:val="32"/>
          <w:szCs w:val="32"/>
          <w:lang w:val="en-US" w:eastAsia="zh-CN"/>
        </w:rPr>
        <w:t>m，宽为2230</w:t>
      </w:r>
      <w:r>
        <w:rPr>
          <w:rFonts w:hint="eastAsia" w:ascii="仿宋_GB2312" w:hAnsi="宋体" w:eastAsia="仿宋_GB2312" w:cs="Times New Roman"/>
          <w:b w:val="0"/>
          <w:bCs w:val="0"/>
          <w:i w:val="0"/>
          <w:caps w:val="0"/>
          <w:spacing w:val="0"/>
          <w:w w:val="100"/>
          <w:kern w:val="2"/>
          <w:sz w:val="32"/>
          <w:szCs w:val="32"/>
          <w:u w:val="none"/>
          <w:lang w:val="en-US" w:eastAsia="zh-CN" w:bidi="ar-SA"/>
        </w:rPr>
        <w:t>m</w:t>
      </w:r>
      <w:r>
        <w:rPr>
          <w:rFonts w:hint="eastAsia" w:ascii="仿宋_GB2312" w:hAnsi="宋体" w:eastAsia="仿宋_GB2312" w:cs="Times New Roman"/>
          <w:sz w:val="32"/>
          <w:szCs w:val="32"/>
          <w:lang w:val="en-US" w:eastAsia="zh-CN"/>
        </w:rPr>
        <w:t>m，高为300</w:t>
      </w:r>
      <w:r>
        <w:rPr>
          <w:rFonts w:hint="eastAsia" w:ascii="仿宋_GB2312" w:hAnsi="宋体" w:eastAsia="仿宋_GB2312" w:cs="Times New Roman"/>
          <w:b w:val="0"/>
          <w:bCs w:val="0"/>
          <w:i w:val="0"/>
          <w:caps w:val="0"/>
          <w:spacing w:val="0"/>
          <w:w w:val="100"/>
          <w:kern w:val="2"/>
          <w:sz w:val="32"/>
          <w:szCs w:val="32"/>
          <w:u w:val="none"/>
          <w:lang w:val="en-US" w:eastAsia="zh-CN" w:bidi="ar-SA"/>
        </w:rPr>
        <w:t>m</w:t>
      </w:r>
      <w:r>
        <w:rPr>
          <w:rFonts w:hint="eastAsia" w:ascii="仿宋_GB2312" w:hAnsi="宋体" w:eastAsia="仿宋_GB2312" w:cs="Times New Roman"/>
          <w:sz w:val="32"/>
          <w:szCs w:val="32"/>
          <w:lang w:val="en-US" w:eastAsia="zh-CN"/>
        </w:rPr>
        <w:t>m，离心机安装要充分考虑下料口位置尺寸；</w:t>
      </w:r>
    </w:p>
    <w:p>
      <w:pPr>
        <w:pStyle w:val="2"/>
        <w:spacing w:line="360" w:lineRule="auto"/>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3.3.2 原离心机基座改造的具体内容及做法如下：</w:t>
      </w:r>
    </w:p>
    <w:p>
      <w:pPr>
        <w:pStyle w:val="2"/>
        <w:spacing w:line="360" w:lineRule="auto"/>
        <w:ind w:firstLine="640" w:firstLineChars="200"/>
        <w:rPr>
          <w:rFonts w:hint="eastAsia" w:ascii="仿宋_GB2312" w:hAnsi="宋体" w:eastAsia="仿宋_GB2312" w:cs="Times New Roman"/>
          <w:kern w:val="2"/>
          <w:sz w:val="32"/>
          <w:szCs w:val="32"/>
          <w:vertAlign w:val="baseline"/>
          <w:lang w:val="en-US" w:eastAsia="zh-CN" w:bidi="ar-SA"/>
        </w:rPr>
      </w:pPr>
      <w:r>
        <w:rPr>
          <w:rFonts w:hint="eastAsia" w:ascii="仿宋_GB2312" w:hAnsi="宋体" w:eastAsia="仿宋_GB2312" w:cs="Times New Roman"/>
          <w:sz w:val="32"/>
          <w:szCs w:val="32"/>
          <w:lang w:val="en-US" w:eastAsia="zh-CN"/>
        </w:rPr>
        <w:t>① 改造需向南加长600mm，基座宽、高与现有基座一致，现有</w:t>
      </w:r>
      <w:r>
        <w:rPr>
          <w:rFonts w:hint="eastAsia" w:ascii="仿宋_GB2312" w:hAnsi="宋体" w:eastAsia="仿宋_GB2312" w:cs="Times New Roman"/>
          <w:kern w:val="2"/>
          <w:sz w:val="32"/>
          <w:szCs w:val="32"/>
          <w:vertAlign w:val="baseline"/>
          <w:lang w:val="en-US" w:eastAsia="zh-CN" w:bidi="ar-SA"/>
        </w:rPr>
        <w:t>基座南边向北拆除约200mm长的混凝土，以漏出内部基础钢筋结构为止，与现有基础内钢筋连接。加长段向下凿至漏出平台内部基础钢筋结构为止，与现有基础内钢筋连接；</w:t>
      </w:r>
    </w:p>
    <w:p>
      <w:pPr>
        <w:pStyle w:val="2"/>
        <w:spacing w:line="360" w:lineRule="auto"/>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kern w:val="2"/>
          <w:sz w:val="32"/>
          <w:szCs w:val="32"/>
          <w:vertAlign w:val="baseline"/>
          <w:lang w:val="en-US" w:eastAsia="zh-CN" w:bidi="ar-SA"/>
        </w:rPr>
        <w:t>② 因原离心机预埋框架板与新P-100框架板尺寸不同，故原离心机预埋框架板需拆除（框架板拆除由采购人负责），并预埋新框架板后整体浇筑成型，</w:t>
      </w:r>
      <w:r>
        <w:rPr>
          <w:rFonts w:hint="eastAsia" w:ascii="仿宋_GB2312" w:hAnsi="宋体" w:eastAsia="仿宋_GB2312" w:cs="Times New Roman"/>
          <w:sz w:val="32"/>
          <w:szCs w:val="32"/>
          <w:lang w:val="en-US" w:eastAsia="zh-CN"/>
        </w:rPr>
        <w:t>基座配筋详见下图及附件</w:t>
      </w:r>
      <w:r>
        <w:rPr>
          <w:rFonts w:hint="eastAsia" w:ascii="仿宋_GB2312" w:hAnsi="宋体" w:eastAsia="仿宋_GB2312" w:cs="Times New Roman"/>
          <w:sz w:val="32"/>
          <w:szCs w:val="32"/>
          <w:lang w:val="en-US" w:eastAsia="zh-CN"/>
        </w:rPr>
        <w:object>
          <v:shape id="_x0000_i1027" o:spt="75" type="#_x0000_t75" style="height:66pt;width:72.75pt;" o:ole="t" filled="f" o:preferrelative="t" stroked="f" coordsize="21600,21600">
            <v:path/>
            <v:fill on="f" focussize="0,0"/>
            <v:stroke on="f"/>
            <v:imagedata r:id="rId17" o:title=""/>
            <o:lock v:ext="edit" aspectratio="t"/>
            <w10:wrap type="none"/>
            <w10:anchorlock/>
          </v:shape>
          <o:OLEObject Type="Embed" ProgID="Package" ShapeID="_x0000_i1027" DrawAspect="Icon" ObjectID="_1468075727" r:id="rId16">
            <o:LockedField>false</o:LockedField>
          </o:OLEObject>
        </w:object>
      </w:r>
      <w:r>
        <w:rPr>
          <w:rFonts w:hint="eastAsia" w:ascii="仿宋_GB2312" w:hAnsi="宋体" w:eastAsia="仿宋_GB2312" w:cs="Times New Roman"/>
          <w:sz w:val="32"/>
          <w:szCs w:val="32"/>
          <w:lang w:val="en-US" w:eastAsia="zh-CN"/>
        </w:rPr>
        <w:t>：</w:t>
      </w:r>
    </w:p>
    <w:p>
      <w:pPr>
        <w:numPr>
          <w:ilvl w:val="0"/>
          <w:numId w:val="0"/>
        </w:numPr>
        <w:snapToGrid/>
        <w:spacing w:before="0" w:beforeAutospacing="0" w:after="0" w:afterAutospacing="0" w:line="240" w:lineRule="auto"/>
        <w:ind w:firstLine="0" w:firstLineChars="0"/>
        <w:jc w:val="both"/>
        <w:textAlignment w:val="baseline"/>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drawing>
          <wp:inline distT="0" distB="0" distL="114300" distR="114300">
            <wp:extent cx="5781040" cy="3966210"/>
            <wp:effectExtent l="0" t="0" r="10160" b="15240"/>
            <wp:docPr id="12" name="图片 12" descr="397ae63dde9228bafb30476768d4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97ae63dde9228bafb30476768d40f5"/>
                    <pic:cNvPicPr>
                      <a:picLocks noChangeAspect="1"/>
                    </pic:cNvPicPr>
                  </pic:nvPicPr>
                  <pic:blipFill>
                    <a:blip r:embed="rId18"/>
                    <a:stretch>
                      <a:fillRect/>
                    </a:stretch>
                  </pic:blipFill>
                  <pic:spPr>
                    <a:xfrm>
                      <a:off x="0" y="0"/>
                      <a:ext cx="5781040" cy="3966210"/>
                    </a:xfrm>
                    <a:prstGeom prst="rect">
                      <a:avLst/>
                    </a:prstGeom>
                  </pic:spPr>
                </pic:pic>
              </a:graphicData>
            </a:graphic>
          </wp:inline>
        </w:drawing>
      </w:r>
    </w:p>
    <w:p>
      <w:pPr>
        <w:numPr>
          <w:ilvl w:val="-1"/>
          <w:numId w:val="0"/>
        </w:numPr>
        <w:spacing w:before="0" w:after="0" w:line="240" w:lineRule="auto"/>
        <w:ind w:firstLine="0" w:firstLineChars="0"/>
        <w:jc w:val="left"/>
      </w:pPr>
      <w:r>
        <w:drawing>
          <wp:inline distT="0" distB="0" distL="114300" distR="114300">
            <wp:extent cx="5799455" cy="3422015"/>
            <wp:effectExtent l="0" t="0" r="10795"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9"/>
                    <a:stretch>
                      <a:fillRect/>
                    </a:stretch>
                  </pic:blipFill>
                  <pic:spPr>
                    <a:xfrm>
                      <a:off x="0" y="0"/>
                      <a:ext cx="5799455" cy="3422015"/>
                    </a:xfrm>
                    <a:prstGeom prst="rect">
                      <a:avLst/>
                    </a:prstGeom>
                    <a:noFill/>
                    <a:ln>
                      <a:noFill/>
                    </a:ln>
                  </pic:spPr>
                </pic:pic>
              </a:graphicData>
            </a:graphic>
          </wp:inline>
        </w:drawing>
      </w:r>
    </w:p>
    <w:p>
      <w:pPr>
        <w:numPr>
          <w:ilvl w:val="-1"/>
          <w:numId w:val="0"/>
        </w:numPr>
        <w:spacing w:before="0" w:after="0" w:line="240" w:lineRule="auto"/>
        <w:ind w:firstLine="420" w:firstLineChars="200"/>
        <w:jc w:val="left"/>
        <w:rPr>
          <w:rFonts w:hint="eastAsia" w:eastAsiaTheme="minorEastAsia"/>
          <w:lang w:eastAsia="zh-CN"/>
        </w:rPr>
      </w:pPr>
      <w:r>
        <w:rPr>
          <w:rFonts w:hint="eastAsia" w:eastAsiaTheme="minorEastAsia"/>
          <w:lang w:eastAsia="zh-CN"/>
        </w:rPr>
        <w:drawing>
          <wp:inline distT="0" distB="0" distL="114300" distR="114300">
            <wp:extent cx="5537200" cy="4050030"/>
            <wp:effectExtent l="0" t="0" r="6350" b="7620"/>
            <wp:docPr id="11" name="图片 11" descr="09d0ce03b42a69d960ffb4258364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9d0ce03b42a69d960ffb42583649af"/>
                    <pic:cNvPicPr>
                      <a:picLocks noChangeAspect="1"/>
                    </pic:cNvPicPr>
                  </pic:nvPicPr>
                  <pic:blipFill>
                    <a:blip r:embed="rId20"/>
                    <a:stretch>
                      <a:fillRect/>
                    </a:stretch>
                  </pic:blipFill>
                  <pic:spPr>
                    <a:xfrm>
                      <a:off x="0" y="0"/>
                      <a:ext cx="5537200" cy="4050030"/>
                    </a:xfrm>
                    <a:prstGeom prst="rect">
                      <a:avLst/>
                    </a:prstGeom>
                  </pic:spPr>
                </pic:pic>
              </a:graphicData>
            </a:graphic>
          </wp:inline>
        </w:drawing>
      </w:r>
    </w:p>
    <w:p>
      <w:pPr>
        <w:numPr>
          <w:ilvl w:val="0"/>
          <w:numId w:val="0"/>
        </w:numPr>
        <w:ind w:firstLine="640" w:firstLineChars="200"/>
        <w:jc w:val="left"/>
        <w:rPr>
          <w:rFonts w:hint="eastAsia" w:ascii="仿宋_GB2312" w:hAnsi="宋体" w:eastAsia="仿宋_GB2312" w:cs="Times New Roman"/>
          <w:b w:val="0"/>
          <w:bCs w:val="0"/>
          <w:i w:val="0"/>
          <w:caps w:val="0"/>
          <w:spacing w:val="0"/>
          <w:w w:val="100"/>
          <w:kern w:val="2"/>
          <w:sz w:val="32"/>
          <w:szCs w:val="32"/>
          <w:u w:val="none"/>
          <w:lang w:val="en-US" w:eastAsia="zh-CN" w:bidi="ar-SA"/>
        </w:rPr>
      </w:pPr>
      <w:r>
        <w:rPr>
          <w:rFonts w:hint="eastAsia" w:ascii="仿宋_GB2312" w:hAnsi="宋体" w:eastAsia="仿宋_GB2312" w:cs="Times New Roman"/>
          <w:b w:val="0"/>
          <w:bCs w:val="0"/>
          <w:i w:val="0"/>
          <w:caps w:val="0"/>
          <w:spacing w:val="0"/>
          <w:w w:val="100"/>
          <w:kern w:val="2"/>
          <w:sz w:val="32"/>
          <w:szCs w:val="32"/>
          <w:u w:val="none"/>
          <w:lang w:val="en-US" w:eastAsia="zh-CN" w:bidi="ar-SA"/>
        </w:rPr>
        <w:t>③ 原位于21m平台地面上的下料口尺寸为400*400mm，现需将下料口向西扩大100mm，最终下料口尺寸为500*400mm，即下图红线部分；</w:t>
      </w:r>
    </w:p>
    <w:p>
      <w:pPr>
        <w:pStyle w:val="2"/>
        <w:jc w:val="center"/>
        <w:rPr>
          <w:rFonts w:hint="default"/>
          <w:lang w:val="en-US" w:eastAsia="zh-CN"/>
        </w:rPr>
      </w:pPr>
      <w:r>
        <w:drawing>
          <wp:inline distT="0" distB="0" distL="114300" distR="114300">
            <wp:extent cx="1494155" cy="2961005"/>
            <wp:effectExtent l="0" t="0" r="10795" b="1079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1"/>
                    <a:stretch>
                      <a:fillRect/>
                    </a:stretch>
                  </pic:blipFill>
                  <pic:spPr>
                    <a:xfrm>
                      <a:off x="0" y="0"/>
                      <a:ext cx="1494155" cy="2961005"/>
                    </a:xfrm>
                    <a:prstGeom prst="rect">
                      <a:avLst/>
                    </a:prstGeom>
                    <a:noFill/>
                    <a:ln>
                      <a:noFill/>
                    </a:ln>
                  </pic:spPr>
                </pic:pic>
              </a:graphicData>
            </a:graphic>
          </wp:inline>
        </w:drawing>
      </w:r>
    </w:p>
    <w:p>
      <w:pPr>
        <w:numPr>
          <w:ilvl w:val="-1"/>
          <w:numId w:val="0"/>
        </w:numPr>
        <w:spacing w:before="0" w:after="0" w:line="240" w:lineRule="auto"/>
        <w:ind w:firstLine="640" w:firstLineChars="200"/>
        <w:jc w:val="left"/>
        <w:rPr>
          <w:rFonts w:hint="default"/>
          <w:lang w:val="en-US" w:eastAsia="zh-CN"/>
        </w:rPr>
      </w:pPr>
      <w:r>
        <w:rPr>
          <w:rFonts w:hint="eastAsia" w:ascii="仿宋_GB2312" w:hAnsi="宋体" w:eastAsia="仿宋_GB2312" w:cs="Times New Roman"/>
          <w:b w:val="0"/>
          <w:bCs w:val="0"/>
          <w:i w:val="0"/>
          <w:caps w:val="0"/>
          <w:spacing w:val="0"/>
          <w:w w:val="100"/>
          <w:kern w:val="2"/>
          <w:sz w:val="32"/>
          <w:szCs w:val="32"/>
          <w:u w:val="none"/>
          <w:lang w:val="en-US" w:eastAsia="zh-CN" w:bidi="ar-SA"/>
        </w:rPr>
        <w:t>3.4 施工</w:t>
      </w:r>
      <w:r>
        <w:rPr>
          <w:rFonts w:hint="eastAsia" w:ascii="仿宋_GB2312" w:hAnsi="宋体" w:eastAsia="仿宋_GB2312" w:cs="Times New Roman"/>
          <w:i w:val="0"/>
          <w:iCs w:val="0"/>
          <w:color w:val="auto"/>
          <w:kern w:val="2"/>
          <w:sz w:val="32"/>
          <w:szCs w:val="32"/>
          <w:u w:val="none"/>
          <w:lang w:val="en-US" w:eastAsia="zh-CN" w:bidi="ar-SA"/>
        </w:rPr>
        <w:t>所需的框架板、橡胶缓震垫、地脚螺栓等主材由采购人负责，供应商负责施工所需的其它材料（C30混凝土及内部钢筋）、人工、吊车及其它辅助施工设备；</w:t>
      </w:r>
    </w:p>
    <w:p>
      <w:pPr>
        <w:snapToGrid/>
        <w:spacing w:before="0" w:beforeAutospacing="0" w:after="0" w:afterAutospacing="0" w:line="240" w:lineRule="auto"/>
        <w:ind w:firstLine="640" w:firstLineChars="200"/>
        <w:jc w:val="both"/>
        <w:textAlignment w:val="baseline"/>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4、工程承包范围：</w:t>
      </w:r>
      <w:r>
        <w:rPr>
          <w:rFonts w:hint="eastAsia" w:ascii="仿宋_GB2312" w:hAnsi="宋体" w:eastAsia="仿宋_GB2312" w:cs="Times New Roman"/>
          <w:b w:val="0"/>
          <w:i w:val="0"/>
          <w:caps w:val="0"/>
          <w:spacing w:val="0"/>
          <w:w w:val="100"/>
          <w:sz w:val="32"/>
          <w:szCs w:val="32"/>
          <w:lang w:val="en-US" w:eastAsia="zh-CN"/>
        </w:rPr>
        <w:t>施工费用包含除</w:t>
      </w:r>
      <w:r>
        <w:rPr>
          <w:rFonts w:hint="eastAsia" w:ascii="仿宋_GB2312" w:hAnsi="宋体" w:eastAsia="仿宋_GB2312" w:cs="Times New Roman"/>
          <w:i w:val="0"/>
          <w:iCs w:val="0"/>
          <w:color w:val="auto"/>
          <w:kern w:val="2"/>
          <w:sz w:val="32"/>
          <w:szCs w:val="32"/>
          <w:u w:val="none"/>
          <w:lang w:val="en-US" w:eastAsia="zh-CN" w:bidi="ar-SA"/>
        </w:rPr>
        <w:t>框架板、橡胶缓震垫、地脚螺栓等主材以外的其它材料（包含混凝土及内部钢筋、辅材等）、</w:t>
      </w:r>
      <w:r>
        <w:rPr>
          <w:rFonts w:hint="eastAsia" w:ascii="仿宋_GB2312" w:hAnsi="宋体" w:eastAsia="仿宋_GB2312" w:cs="Times New Roman"/>
          <w:b w:val="0"/>
          <w:i w:val="0"/>
          <w:caps w:val="0"/>
          <w:spacing w:val="0"/>
          <w:w w:val="100"/>
          <w:sz w:val="32"/>
          <w:szCs w:val="32"/>
          <w:lang w:val="en-US" w:eastAsia="zh-CN"/>
        </w:rPr>
        <w:t>加工、焊接、运输、机械、吊车、吊装、搅拌、人工、安装、安全施工、保养、保险、税费、验收、检测、调试等一切费用，为交钥匙工程，施工费用一次性包死；</w:t>
      </w:r>
    </w:p>
    <w:p>
      <w:pPr>
        <w:pStyle w:val="2"/>
        <w:snapToGrid/>
        <w:spacing w:before="0" w:beforeAutospacing="0" w:after="0" w:afterAutospacing="0" w:line="240" w:lineRule="auto"/>
        <w:ind w:left="0" w:leftChars="0" w:firstLine="640" w:firstLineChars="200"/>
        <w:jc w:val="both"/>
        <w:textAlignment w:val="baseline"/>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5、付款方式：</w:t>
      </w:r>
    </w:p>
    <w:p>
      <w:pPr>
        <w:pStyle w:val="2"/>
        <w:snapToGrid/>
        <w:spacing w:before="0" w:beforeAutospacing="0" w:after="0" w:afterAutospacing="0" w:line="240" w:lineRule="auto"/>
        <w:ind w:left="0" w:leftChars="0" w:firstLine="640" w:firstLineChars="200"/>
        <w:jc w:val="both"/>
        <w:textAlignment w:val="baseline"/>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本工程无预付款,施工完成并经验收合格后，付至结算金额的90%,同时开具全额增值税专用发票。余款10%作为质保金,期满后无质量问题30个工作日内一次无息付清，付款方式为现汇或电子承兑支付；</w:t>
      </w:r>
    </w:p>
    <w:p>
      <w:pPr>
        <w:numPr>
          <w:ilvl w:val="0"/>
          <w:numId w:val="0"/>
        </w:numPr>
        <w:bidi w:val="0"/>
        <w:spacing w:line="240" w:lineRule="auto"/>
        <w:ind w:firstLine="640" w:firstLineChars="200"/>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6、施工技术要求：</w:t>
      </w:r>
    </w:p>
    <w:p>
      <w:pPr>
        <w:numPr>
          <w:ilvl w:val="0"/>
          <w:numId w:val="0"/>
        </w:numPr>
        <w:bidi w:val="0"/>
        <w:spacing w:line="240" w:lineRule="auto"/>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6.1 供应商需踏勘现场后提供详细的离心机配重块建设方案及基座改造施工方案、安全施工方案，施工方案中应包含离心机配重块及基座改造所需的材料清单；</w:t>
      </w:r>
    </w:p>
    <w:p>
      <w:pPr>
        <w:numPr>
          <w:ilvl w:val="-1"/>
          <w:numId w:val="0"/>
        </w:numPr>
        <w:bidi w:val="0"/>
        <w:spacing w:line="240" w:lineRule="auto"/>
        <w:ind w:firstLine="640" w:firstLineChars="200"/>
        <w:rPr>
          <w:rFonts w:hint="eastAsia" w:ascii="仿宋_GB2312" w:hAnsi="宋体" w:eastAsia="仿宋_GB2312" w:cs="Times New Roman"/>
          <w:sz w:val="32"/>
          <w:szCs w:val="32"/>
          <w:u w:val="none"/>
          <w:lang w:val="en-US" w:eastAsia="zh-CN"/>
        </w:rPr>
      </w:pPr>
      <w:r>
        <w:rPr>
          <w:rFonts w:hint="eastAsia" w:ascii="仿宋_GB2312" w:hAnsi="宋体" w:eastAsia="仿宋_GB2312" w:cs="Times New Roman"/>
          <w:sz w:val="32"/>
          <w:szCs w:val="32"/>
          <w:lang w:val="en-US" w:eastAsia="zh-CN"/>
        </w:rPr>
        <w:t>6.2 严格按照离心机配重块、配重块内部配筋及基座图纸进行施工；</w:t>
      </w:r>
    </w:p>
    <w:p>
      <w:pPr>
        <w:pStyle w:val="2"/>
        <w:snapToGrid/>
        <w:spacing w:before="0" w:beforeAutospacing="0" w:after="0" w:afterAutospacing="0" w:line="240" w:lineRule="auto"/>
        <w:ind w:left="0" w:leftChars="0" w:firstLine="640" w:firstLineChars="200"/>
        <w:jc w:val="both"/>
        <w:textAlignment w:val="baseline"/>
        <w:rPr>
          <w:rFonts w:hint="default"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6.3 基座及配重块需彻底凝固后并经采购人确认方可进行下一道工序，直至配重块吊装就位，配重块的吊装及安置均由供应商负责；</w:t>
      </w:r>
    </w:p>
    <w:p>
      <w:pPr>
        <w:pStyle w:val="2"/>
        <w:snapToGrid/>
        <w:spacing w:before="0" w:beforeAutospacing="0" w:after="0" w:afterAutospacing="0" w:line="240" w:lineRule="auto"/>
        <w:ind w:left="0" w:leftChars="0" w:firstLine="640" w:firstLineChars="200"/>
        <w:jc w:val="both"/>
        <w:textAlignment w:val="baseline"/>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7、其它要求：</w:t>
      </w:r>
    </w:p>
    <w:p>
      <w:pPr>
        <w:pStyle w:val="2"/>
        <w:snapToGrid/>
        <w:spacing w:before="0" w:beforeAutospacing="0" w:after="0" w:afterAutospacing="0" w:line="240" w:lineRule="auto"/>
        <w:ind w:left="0" w:leftChars="0" w:firstLine="640" w:firstLineChars="200"/>
        <w:jc w:val="both"/>
        <w:textAlignment w:val="baseline"/>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7.1 施工过程中，要服从甲方管理，按甲方现场提出的质量要求进行整改；</w:t>
      </w:r>
    </w:p>
    <w:p>
      <w:pPr>
        <w:pStyle w:val="2"/>
        <w:snapToGrid/>
        <w:spacing w:before="0" w:beforeAutospacing="0" w:after="0" w:afterAutospacing="0" w:line="240" w:lineRule="auto"/>
        <w:ind w:firstLine="640" w:firstLineChars="200"/>
        <w:jc w:val="both"/>
        <w:textAlignment w:val="baseline"/>
        <w:rPr>
          <w:rFonts w:hint="default"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7.2 质保期：自验收合格之日起1年。</w:t>
      </w:r>
    </w:p>
    <w:p>
      <w:pPr>
        <w:pStyle w:val="2"/>
        <w:snapToGrid/>
        <w:spacing w:before="0" w:beforeAutospacing="0" w:after="0" w:afterAutospacing="0" w:line="240" w:lineRule="auto"/>
        <w:ind w:firstLine="640" w:firstLineChars="200"/>
        <w:jc w:val="both"/>
        <w:textAlignment w:val="baseline"/>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7、工期：</w:t>
      </w:r>
    </w:p>
    <w:p>
      <w:pPr>
        <w:pStyle w:val="2"/>
        <w:snapToGrid/>
        <w:spacing w:before="0" w:beforeAutospacing="0" w:after="0" w:afterAutospacing="0" w:line="240" w:lineRule="auto"/>
        <w:ind w:firstLine="640" w:firstLineChars="200"/>
        <w:jc w:val="both"/>
        <w:textAlignment w:val="baseline"/>
        <w:rPr>
          <w:rFonts w:hint="default"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具备施工条件后15日历天施工完毕。</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三、</w:t>
      </w:r>
      <w:r>
        <w:rPr>
          <w:rFonts w:hint="eastAsia" w:ascii="黑体" w:hAnsi="黑体" w:eastAsia="黑体" w:cs="Times New Roman"/>
          <w:sz w:val="32"/>
          <w:szCs w:val="32"/>
          <w:lang w:eastAsia="zh-CN"/>
        </w:rPr>
        <w:t>供应商</w:t>
      </w:r>
      <w:r>
        <w:rPr>
          <w:rFonts w:hint="eastAsia" w:ascii="黑体" w:hAnsi="黑体" w:eastAsia="黑体" w:cs="Times New Roman"/>
          <w:sz w:val="32"/>
          <w:szCs w:val="32"/>
        </w:rPr>
        <w:t>资格要求</w:t>
      </w:r>
    </w:p>
    <w:p>
      <w:pPr>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（一）</w:t>
      </w:r>
      <w:r>
        <w:rPr>
          <w:rFonts w:hint="eastAsia" w:ascii="仿宋_GB2312" w:hAnsi="宋体" w:eastAsia="仿宋_GB2312" w:cs="Times New Roman"/>
          <w:sz w:val="32"/>
          <w:szCs w:val="32"/>
          <w:lang w:eastAsia="zh-CN"/>
        </w:rPr>
        <w:t>供应商</w:t>
      </w:r>
      <w:r>
        <w:rPr>
          <w:rFonts w:hint="eastAsia" w:ascii="仿宋_GB2312" w:hAnsi="宋体" w:eastAsia="仿宋_GB2312" w:cs="Times New Roman"/>
          <w:sz w:val="32"/>
          <w:szCs w:val="32"/>
        </w:rPr>
        <w:t>为具有独立法人资格的企业；具有独立订立合同的能力，具备出具商业增值税专用发票能力。</w:t>
      </w:r>
    </w:p>
    <w:p>
      <w:pPr>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（二）具有良好的商业信誉，</w:t>
      </w:r>
      <w:r>
        <w:rPr>
          <w:rFonts w:hint="eastAsia" w:ascii="仿宋_GB2312" w:hAnsi="宋体" w:eastAsia="仿宋_GB2312" w:cs="Times New Roman"/>
          <w:sz w:val="32"/>
          <w:szCs w:val="32"/>
          <w:lang w:eastAsia="zh-CN"/>
        </w:rPr>
        <w:t>供应商</w:t>
      </w:r>
      <w:r>
        <w:rPr>
          <w:rFonts w:hint="eastAsia" w:ascii="仿宋_GB2312" w:hAnsi="宋体" w:eastAsia="仿宋_GB2312" w:cs="Times New Roman"/>
          <w:sz w:val="32"/>
          <w:szCs w:val="32"/>
        </w:rPr>
        <w:t>未被列入“信用中国”网站(www.creditchina.gov.cn)“失信被执行人”记录名单。</w:t>
      </w:r>
    </w:p>
    <w:p>
      <w:pPr>
        <w:ind w:firstLine="640" w:firstLineChars="200"/>
        <w:rPr>
          <w:rFonts w:hint="eastAsia" w:ascii="仿宋_GB2312" w:hAnsi="宋体" w:eastAsia="仿宋_GB2312" w:cs="Times New Roman"/>
          <w:sz w:val="32"/>
          <w:szCs w:val="32"/>
          <w:lang w:eastAsia="zh-CN"/>
        </w:rPr>
      </w:pPr>
      <w:r>
        <w:rPr>
          <w:rFonts w:hint="eastAsia" w:ascii="仿宋_GB2312" w:hAnsi="宋体" w:eastAsia="仿宋_GB2312" w:cs="Times New Roman"/>
          <w:sz w:val="32"/>
          <w:szCs w:val="32"/>
        </w:rPr>
        <w:t>（三）</w:t>
      </w:r>
      <w:r>
        <w:rPr>
          <w:rFonts w:hint="eastAsia" w:ascii="仿宋_GB2312" w:hAnsi="宋体" w:eastAsia="仿宋_GB2312" w:cs="Times New Roman"/>
          <w:sz w:val="32"/>
          <w:szCs w:val="32"/>
          <w:lang w:val="en-US" w:eastAsia="zh-CN"/>
        </w:rPr>
        <w:t>须具备有效的营业执照。</w:t>
      </w:r>
    </w:p>
    <w:p>
      <w:pPr>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lang w:eastAsia="zh-CN"/>
        </w:rPr>
        <w:t>（四）</w:t>
      </w:r>
      <w:r>
        <w:rPr>
          <w:rFonts w:hint="eastAsia" w:ascii="仿宋_GB2312" w:hAnsi="宋体" w:eastAsia="仿宋_GB2312" w:cs="Times New Roman"/>
          <w:sz w:val="32"/>
          <w:szCs w:val="32"/>
        </w:rPr>
        <w:t>本次招标不接受联合体投标。</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四、招标文件的获取</w:t>
      </w:r>
    </w:p>
    <w:p>
      <w:pPr>
        <w:ind w:firstLine="640" w:firstLineChars="200"/>
        <w:rPr>
          <w:rFonts w:hint="eastAsia" w:ascii="仿宋_GB2312" w:hAnsi="宋体" w:eastAsia="仿宋_GB2312" w:cs="Times New Roman"/>
          <w:sz w:val="32"/>
          <w:szCs w:val="32"/>
          <w:lang w:eastAsia="zh-CN"/>
        </w:rPr>
      </w:pPr>
      <w:r>
        <w:rPr>
          <w:rFonts w:hint="eastAsia" w:ascii="仿宋_GB2312" w:hAnsi="宋体" w:eastAsia="仿宋_GB2312" w:cs="Times New Roman"/>
          <w:sz w:val="32"/>
          <w:szCs w:val="32"/>
        </w:rPr>
        <w:t>凡有意参加本次项目</w:t>
      </w:r>
      <w:r>
        <w:rPr>
          <w:rFonts w:hint="eastAsia" w:ascii="仿宋_GB2312" w:hAnsi="宋体" w:eastAsia="仿宋_GB2312" w:cs="Times New Roman"/>
          <w:sz w:val="32"/>
          <w:szCs w:val="32"/>
          <w:lang w:eastAsia="zh-CN"/>
        </w:rPr>
        <w:t>招标</w:t>
      </w:r>
      <w:r>
        <w:rPr>
          <w:rFonts w:hint="eastAsia" w:ascii="仿宋_GB2312" w:hAnsi="宋体" w:eastAsia="仿宋_GB2312" w:cs="Times New Roman"/>
          <w:sz w:val="32"/>
          <w:szCs w:val="32"/>
        </w:rPr>
        <w:t>的投标单位，须在</w:t>
      </w:r>
      <w:r>
        <w:rPr>
          <w:rFonts w:hint="eastAsia" w:ascii="仿宋_GB2312" w:hAnsi="宋体" w:eastAsia="仿宋_GB2312" w:cs="Times New Roman"/>
          <w:sz w:val="32"/>
          <w:szCs w:val="32"/>
          <w:lang w:eastAsia="zh-CN"/>
        </w:rPr>
        <w:t>投标</w:t>
      </w:r>
      <w:r>
        <w:rPr>
          <w:rFonts w:hint="eastAsia" w:ascii="仿宋_GB2312" w:hAnsi="宋体" w:eastAsia="仿宋_GB2312" w:cs="Times New Roman"/>
          <w:sz w:val="32"/>
          <w:szCs w:val="32"/>
        </w:rPr>
        <w:t>截止时间前在</w:t>
      </w:r>
      <w:r>
        <w:rPr>
          <w:rFonts w:hint="eastAsia" w:ascii="仿宋_GB2312" w:hAnsi="宋体" w:eastAsia="仿宋_GB2312" w:cs="Times New Roman"/>
          <w:sz w:val="32"/>
          <w:szCs w:val="32"/>
          <w:lang w:eastAsia="zh-CN"/>
        </w:rPr>
        <w:t>隆道云</w:t>
      </w:r>
      <w:r>
        <w:rPr>
          <w:rFonts w:hint="eastAsia" w:ascii="仿宋_GB2312" w:hAnsi="宋体" w:eastAsia="仿宋_GB2312" w:cs="Times New Roman"/>
          <w:sz w:val="32"/>
          <w:szCs w:val="32"/>
        </w:rPr>
        <w:t>采购平台</w:t>
      </w:r>
      <w:r>
        <w:rPr>
          <w:rFonts w:hint="eastAsia" w:ascii="仿宋_GB2312" w:hAnsi="宋体" w:eastAsia="仿宋_GB2312" w:cs="Times New Roman"/>
          <w:sz w:val="32"/>
          <w:szCs w:val="32"/>
          <w:lang w:eastAsia="zh-CN"/>
        </w:rPr>
        <w:t>（www.longdaoyun.com）</w:t>
      </w:r>
      <w:r>
        <w:rPr>
          <w:rFonts w:hint="eastAsia" w:ascii="仿宋_GB2312" w:hAnsi="宋体" w:eastAsia="仿宋_GB2312" w:cs="Times New Roman"/>
          <w:sz w:val="32"/>
          <w:szCs w:val="32"/>
        </w:rPr>
        <w:t>进行报名，</w:t>
      </w:r>
      <w:r>
        <w:rPr>
          <w:rFonts w:hint="eastAsia" w:ascii="仿宋_GB2312" w:hAnsi="宋体" w:eastAsia="仿宋_GB2312" w:cs="Times New Roman"/>
          <w:sz w:val="32"/>
          <w:szCs w:val="32"/>
          <w:lang w:eastAsia="zh-CN"/>
        </w:rPr>
        <w:t>或登录山东岱岳制盐有限公司官网（</w:t>
      </w:r>
      <w:r>
        <w:rPr>
          <w:rFonts w:hint="eastAsia" w:ascii="仿宋_GB2312" w:eastAsia="仿宋_GB2312"/>
          <w:sz w:val="30"/>
          <w:szCs w:val="30"/>
          <w:lang w:val="en-US" w:eastAsia="zh-CN"/>
        </w:rPr>
        <w:t>www.sddyzy.com）</w:t>
      </w:r>
      <w:r>
        <w:rPr>
          <w:rFonts w:hint="eastAsia" w:ascii="仿宋_GB2312" w:hAnsi="宋体" w:eastAsia="仿宋_GB2312" w:cs="Times New Roman"/>
          <w:sz w:val="32"/>
          <w:szCs w:val="32"/>
          <w:lang w:eastAsia="zh-CN"/>
        </w:rPr>
        <w:t>查看相关招标文件，</w:t>
      </w:r>
      <w:r>
        <w:rPr>
          <w:rFonts w:hint="eastAsia" w:ascii="仿宋_GB2312" w:hAnsi="宋体" w:eastAsia="仿宋_GB2312" w:cs="Times New Roman"/>
          <w:sz w:val="32"/>
          <w:szCs w:val="32"/>
        </w:rPr>
        <w:t>自行下载招标文件</w:t>
      </w:r>
      <w:r>
        <w:rPr>
          <w:rFonts w:hint="eastAsia" w:ascii="仿宋_GB2312" w:hAnsi="宋体" w:eastAsia="仿宋_GB2312" w:cs="Times New Roman"/>
          <w:sz w:val="32"/>
          <w:szCs w:val="32"/>
          <w:lang w:eastAsia="zh-CN"/>
        </w:rPr>
        <w:t>后进行线下报名，报名联系人：张毅，联系电话：</w:t>
      </w:r>
      <w:r>
        <w:rPr>
          <w:rFonts w:hint="eastAsia" w:ascii="仿宋_GB2312" w:hAnsi="宋体" w:eastAsia="仿宋_GB2312" w:cs="Times New Roman"/>
          <w:sz w:val="32"/>
          <w:szCs w:val="32"/>
          <w:lang w:val="en-US" w:eastAsia="zh-CN"/>
        </w:rPr>
        <w:t>13705382602</w:t>
      </w:r>
      <w:r>
        <w:rPr>
          <w:rFonts w:hint="eastAsia" w:ascii="仿宋_GB2312" w:hAnsi="宋体" w:eastAsia="仿宋_GB2312" w:cs="Times New Roman"/>
          <w:sz w:val="32"/>
          <w:szCs w:val="32"/>
          <w:lang w:eastAsia="zh-CN"/>
        </w:rPr>
        <w:t>。</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五、投标文件的递交</w:t>
      </w:r>
    </w:p>
    <w:p>
      <w:pPr>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rPr>
        <w:t>（一）投标文件递交的截止时间（投标截止时间，下同）为</w:t>
      </w:r>
      <w:r>
        <w:rPr>
          <w:rFonts w:hint="eastAsia" w:ascii="仿宋_GB2312" w:hAnsi="宋体" w:eastAsia="仿宋_GB2312" w:cs="Times New Roman"/>
          <w:color w:val="FF0000"/>
          <w:sz w:val="32"/>
          <w:szCs w:val="32"/>
        </w:rPr>
        <w:t>2</w:t>
      </w:r>
      <w:r>
        <w:rPr>
          <w:rFonts w:hint="eastAsia" w:ascii="仿宋_GB2312" w:hAnsi="宋体" w:eastAsia="仿宋_GB2312" w:cs="Times New Roman"/>
          <w:color w:val="FF0000"/>
          <w:sz w:val="32"/>
          <w:szCs w:val="32"/>
          <w:lang w:val="en-US" w:eastAsia="zh-CN"/>
        </w:rPr>
        <w:t>023年6月26日24时00分</w:t>
      </w:r>
      <w:r>
        <w:rPr>
          <w:rFonts w:hint="eastAsia" w:ascii="仿宋_GB2312" w:hAnsi="宋体" w:eastAsia="仿宋_GB2312" w:cs="Times New Roman"/>
          <w:sz w:val="32"/>
          <w:szCs w:val="32"/>
          <w:lang w:val="en-US" w:eastAsia="zh-CN"/>
        </w:rPr>
        <w:t>，供应商应在截止时间前通过以下2种方式上传电子投标文件邮寄至少3份纸质版投标资料</w:t>
      </w:r>
      <w:r>
        <w:rPr>
          <w:rFonts w:hint="eastAsia" w:ascii="仿宋_GB2312" w:hAnsi="黑体" w:eastAsia="仿宋_GB2312" w:cs="Times New Roman"/>
          <w:kern w:val="44"/>
          <w:sz w:val="32"/>
          <w:szCs w:val="44"/>
          <w:u w:val="none"/>
          <w:lang w:val="en-US" w:eastAsia="zh-CN"/>
        </w:rPr>
        <w:t>（加盖公章并密封）</w:t>
      </w:r>
      <w:r>
        <w:rPr>
          <w:rFonts w:hint="eastAsia" w:ascii="仿宋_GB2312" w:hAnsi="宋体" w:eastAsia="仿宋_GB2312" w:cs="Times New Roman"/>
          <w:sz w:val="32"/>
          <w:szCs w:val="32"/>
          <w:lang w:val="en-US" w:eastAsia="zh-CN"/>
        </w:rPr>
        <w:t>至采购人：</w:t>
      </w:r>
    </w:p>
    <w:p>
      <w:pPr>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1、线上：登录隆道云平台报价；</w:t>
      </w:r>
    </w:p>
    <w:p>
      <w:pPr>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2、线下：</w:t>
      </w:r>
      <w:r>
        <w:rPr>
          <w:rFonts w:hint="eastAsia" w:ascii="仿宋_GB2312" w:hAnsi="宋体" w:eastAsia="仿宋_GB2312" w:cs="Times New Roman"/>
          <w:color w:val="auto"/>
          <w:sz w:val="32"/>
          <w:szCs w:val="32"/>
          <w:lang w:val="en-US" w:eastAsia="zh-CN"/>
        </w:rPr>
        <w:fldChar w:fldCharType="begin"/>
      </w:r>
      <w:r>
        <w:rPr>
          <w:rFonts w:hint="eastAsia" w:ascii="仿宋_GB2312" w:hAnsi="宋体" w:eastAsia="仿宋_GB2312" w:cs="Times New Roman"/>
          <w:color w:val="auto"/>
          <w:sz w:val="32"/>
          <w:szCs w:val="32"/>
          <w:lang w:val="en-US" w:eastAsia="zh-CN"/>
        </w:rPr>
        <w:instrText xml:space="preserve"> HYPERLINK "mailto:报专用邮箱dyzy009@163.com；" </w:instrText>
      </w:r>
      <w:r>
        <w:rPr>
          <w:rFonts w:hint="eastAsia" w:ascii="仿宋_GB2312" w:hAnsi="宋体" w:eastAsia="仿宋_GB2312" w:cs="Times New Roman"/>
          <w:color w:val="auto"/>
          <w:sz w:val="32"/>
          <w:szCs w:val="32"/>
          <w:lang w:val="en-US" w:eastAsia="zh-CN"/>
        </w:rPr>
        <w:fldChar w:fldCharType="separate"/>
      </w:r>
      <w:r>
        <w:rPr>
          <w:rStyle w:val="14"/>
          <w:rFonts w:hint="eastAsia" w:ascii="仿宋_GB2312" w:hAnsi="宋体" w:eastAsia="仿宋_GB2312" w:cs="Times New Roman"/>
          <w:color w:val="auto"/>
          <w:sz w:val="32"/>
          <w:szCs w:val="32"/>
          <w:lang w:val="en-US" w:eastAsia="zh-CN"/>
        </w:rPr>
        <w:t>报专用邮箱</w:t>
      </w:r>
      <w:r>
        <w:rPr>
          <w:rStyle w:val="14"/>
          <w:rFonts w:hint="eastAsia" w:ascii="仿宋" w:hAnsi="仿宋" w:eastAsia="仿宋"/>
          <w:color w:val="auto"/>
          <w:sz w:val="30"/>
          <w:szCs w:val="30"/>
          <w:lang w:eastAsia="zh-CN"/>
        </w:rPr>
        <w:t>dyzy009@163.com</w:t>
      </w:r>
      <w:r>
        <w:rPr>
          <w:rStyle w:val="14"/>
          <w:rFonts w:hint="eastAsia" w:ascii="仿宋_GB2312" w:hAnsi="宋体" w:eastAsia="仿宋_GB2312" w:cs="Times New Roman"/>
          <w:color w:val="auto"/>
          <w:sz w:val="32"/>
          <w:szCs w:val="32"/>
          <w:lang w:val="en-US" w:eastAsia="zh-CN"/>
        </w:rPr>
        <w:t>；</w:t>
      </w:r>
      <w:r>
        <w:rPr>
          <w:rFonts w:hint="eastAsia" w:ascii="仿宋_GB2312" w:hAnsi="宋体" w:eastAsia="仿宋_GB2312" w:cs="Times New Roman"/>
          <w:color w:val="auto"/>
          <w:sz w:val="32"/>
          <w:szCs w:val="32"/>
          <w:lang w:val="en-US" w:eastAsia="zh-CN"/>
        </w:rPr>
        <w:fldChar w:fldCharType="end"/>
      </w:r>
    </w:p>
    <w:p>
      <w:pPr>
        <w:pStyle w:val="2"/>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3、邮寄地址及收件人：</w:t>
      </w:r>
    </w:p>
    <w:p>
      <w:pPr>
        <w:pStyle w:val="2"/>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邮寄地址：山东省泰安市岱岳区大汶口石膏工业园区山东岱岳制盐有限公司新厂，生产管理部；</w:t>
      </w:r>
    </w:p>
    <w:p>
      <w:pPr>
        <w:pStyle w:val="2"/>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收件人：张毅，13705382602。</w:t>
      </w:r>
    </w:p>
    <w:p>
      <w:pPr>
        <w:ind w:firstLine="640" w:firstLineChars="200"/>
        <w:rPr>
          <w:rFonts w:hint="eastAsia" w:ascii="仿宋_GB2312" w:hAnsi="宋体" w:eastAsia="仿宋_GB2312" w:cs="Times New Roman"/>
          <w:sz w:val="32"/>
          <w:szCs w:val="32"/>
        </w:rPr>
      </w:pPr>
      <w:r>
        <w:rPr>
          <w:rFonts w:hint="eastAsia" w:ascii="仿宋_GB2312" w:hAnsi="宋体" w:eastAsia="仿宋_GB2312" w:cs="Times New Roman"/>
          <w:sz w:val="32"/>
          <w:szCs w:val="32"/>
        </w:rPr>
        <w:t>（二）逾期送达的投标文件，将予以拒收。</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六、开标时间及地点</w:t>
      </w:r>
    </w:p>
    <w:p>
      <w:pPr>
        <w:ind w:firstLine="640" w:firstLineChars="200"/>
        <w:rPr>
          <w:rFonts w:hint="default" w:ascii="仿宋_GB2312" w:hAnsi="宋体" w:eastAsia="仿宋_GB2312" w:cs="Times New Roman"/>
          <w:color w:val="FF0000"/>
          <w:sz w:val="32"/>
          <w:szCs w:val="32"/>
          <w:highlight w:val="none"/>
          <w:lang w:val="en-US" w:eastAsia="zh-CN"/>
        </w:rPr>
      </w:pPr>
      <w:r>
        <w:rPr>
          <w:rFonts w:hint="eastAsia" w:ascii="仿宋_GB2312" w:hAnsi="宋体" w:eastAsia="仿宋_GB2312" w:cs="Times New Roman"/>
          <w:sz w:val="32"/>
          <w:szCs w:val="32"/>
          <w:lang w:val="en-US" w:eastAsia="zh-CN"/>
        </w:rPr>
        <w:t>开标时间：</w:t>
      </w:r>
      <w:r>
        <w:rPr>
          <w:rFonts w:hint="eastAsia" w:ascii="仿宋_GB2312" w:hAnsi="宋体" w:eastAsia="仿宋_GB2312" w:cs="Times New Roman"/>
          <w:color w:val="FF0000"/>
          <w:sz w:val="32"/>
          <w:szCs w:val="32"/>
          <w:highlight w:val="none"/>
          <w:lang w:val="en-US" w:eastAsia="zh-CN"/>
        </w:rPr>
        <w:t>2023年6月27日上午8:30</w:t>
      </w:r>
    </w:p>
    <w:p>
      <w:pPr>
        <w:ind w:firstLine="640" w:firstLineChars="200"/>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开标地点：技术中心2楼会议室</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七、 联系方式</w:t>
      </w:r>
    </w:p>
    <w:p>
      <w:pPr>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招标单位：山东</w:t>
      </w:r>
      <w:r>
        <w:rPr>
          <w:rFonts w:hint="eastAsia" w:ascii="仿宋_GB2312" w:hAnsi="宋体" w:eastAsia="仿宋_GB2312" w:cs="Times New Roman"/>
          <w:sz w:val="32"/>
          <w:szCs w:val="32"/>
          <w:lang w:eastAsia="zh-CN"/>
        </w:rPr>
        <w:t>岱岳制盐</w:t>
      </w:r>
      <w:r>
        <w:rPr>
          <w:rFonts w:hint="eastAsia" w:ascii="仿宋_GB2312" w:hAnsi="宋体" w:eastAsia="仿宋_GB2312" w:cs="Times New Roman"/>
          <w:sz w:val="32"/>
          <w:szCs w:val="32"/>
        </w:rPr>
        <w:t>有限公司</w:t>
      </w:r>
    </w:p>
    <w:p>
      <w:pPr>
        <w:widowControl/>
        <w:spacing w:line="360" w:lineRule="auto"/>
        <w:ind w:firstLine="640" w:firstLineChars="200"/>
        <w:jc w:val="left"/>
        <w:rPr>
          <w:rFonts w:ascii="仿宋_GB2312" w:hAnsi="宋体" w:eastAsia="仿宋_GB2312" w:cs="Times New Roman"/>
          <w:sz w:val="32"/>
          <w:szCs w:val="32"/>
        </w:rPr>
      </w:pPr>
      <w:r>
        <w:rPr>
          <w:rFonts w:hint="eastAsia" w:ascii="仿宋_GB2312" w:hAnsi="宋体" w:eastAsia="仿宋_GB2312" w:cs="Times New Roman"/>
          <w:sz w:val="32"/>
          <w:szCs w:val="32"/>
        </w:rPr>
        <w:t>地    址：</w:t>
      </w:r>
      <w:r>
        <w:rPr>
          <w:rFonts w:hint="eastAsia" w:ascii="仿宋_GB2312" w:eastAsia="仿宋_GB2312"/>
          <w:sz w:val="30"/>
          <w:szCs w:val="30"/>
        </w:rPr>
        <w:t>泰安市大汶口石膏工业园</w:t>
      </w:r>
      <w:r>
        <w:rPr>
          <w:rFonts w:hint="eastAsia" w:ascii="仿宋_GB2312" w:eastAsia="仿宋_GB2312"/>
          <w:sz w:val="30"/>
          <w:szCs w:val="30"/>
          <w:lang w:eastAsia="zh-CN"/>
        </w:rPr>
        <w:t>区</w:t>
      </w:r>
    </w:p>
    <w:p>
      <w:pPr>
        <w:spacing w:line="360" w:lineRule="auto"/>
        <w:ind w:firstLine="600" w:firstLineChars="200"/>
        <w:rPr>
          <w:rFonts w:hint="eastAsia" w:ascii="仿宋_GB2312" w:eastAsia="仿宋_GB2312"/>
          <w:sz w:val="30"/>
          <w:szCs w:val="30"/>
          <w:lang w:eastAsia="zh-CN"/>
        </w:rPr>
      </w:pPr>
      <w:r>
        <w:rPr>
          <w:rFonts w:hint="eastAsia" w:ascii="仿宋_GB2312" w:eastAsia="仿宋_GB2312"/>
          <w:sz w:val="30"/>
          <w:szCs w:val="30"/>
        </w:rPr>
        <w:t>联</w:t>
      </w:r>
      <w:r>
        <w:rPr>
          <w:rFonts w:ascii="仿宋_GB2312" w:eastAsia="仿宋_GB2312"/>
          <w:sz w:val="30"/>
          <w:szCs w:val="30"/>
        </w:rPr>
        <w:t xml:space="preserve"> </w:t>
      </w:r>
      <w:r>
        <w:rPr>
          <w:rFonts w:hint="eastAsia" w:ascii="仿宋_GB2312" w:eastAsia="仿宋_GB2312"/>
          <w:sz w:val="30"/>
          <w:szCs w:val="30"/>
        </w:rPr>
        <w:t>系</w:t>
      </w:r>
      <w:r>
        <w:rPr>
          <w:rFonts w:ascii="仿宋_GB2312" w:eastAsia="仿宋_GB2312"/>
          <w:sz w:val="30"/>
          <w:szCs w:val="30"/>
        </w:rPr>
        <w:t xml:space="preserve"> </w:t>
      </w:r>
      <w:r>
        <w:rPr>
          <w:rFonts w:hint="eastAsia" w:ascii="仿宋_GB2312" w:eastAsia="仿宋_GB2312"/>
          <w:sz w:val="30"/>
          <w:szCs w:val="30"/>
        </w:rPr>
        <w:t>人：</w:t>
      </w:r>
      <w:r>
        <w:rPr>
          <w:rFonts w:hint="eastAsia" w:ascii="仿宋_GB2312" w:eastAsia="仿宋_GB2312"/>
          <w:sz w:val="30"/>
          <w:szCs w:val="30"/>
          <w:lang w:eastAsia="zh-CN"/>
        </w:rPr>
        <w:t>赵新</w:t>
      </w:r>
      <w:r>
        <w:rPr>
          <w:rFonts w:hint="eastAsia" w:ascii="仿宋_GB2312" w:eastAsia="仿宋_GB2312"/>
          <w:sz w:val="30"/>
          <w:szCs w:val="30"/>
          <w:lang w:val="en-US" w:eastAsia="zh-CN"/>
        </w:rPr>
        <w:t xml:space="preserve">    15621530171</w:t>
      </w:r>
    </w:p>
    <w:p>
      <w:pPr>
        <w:spacing w:line="360" w:lineRule="auto"/>
        <w:ind w:firstLine="2100" w:firstLineChars="700"/>
        <w:rPr>
          <w:rFonts w:hint="eastAsia" w:ascii="仿宋_GB2312" w:eastAsia="仿宋_GB2312"/>
          <w:sz w:val="30"/>
          <w:szCs w:val="30"/>
          <w:lang w:val="en-US" w:eastAsia="zh-CN"/>
        </w:rPr>
      </w:pPr>
      <w:r>
        <w:rPr>
          <w:rFonts w:hint="eastAsia" w:ascii="仿宋_GB2312" w:eastAsia="仿宋_GB2312"/>
          <w:sz w:val="30"/>
          <w:szCs w:val="30"/>
          <w:lang w:eastAsia="zh-CN"/>
        </w:rPr>
        <w:t>郑国丰</w:t>
      </w:r>
      <w:r>
        <w:rPr>
          <w:rFonts w:hint="eastAsia" w:ascii="仿宋_GB2312" w:eastAsia="仿宋_GB2312"/>
          <w:sz w:val="30"/>
          <w:szCs w:val="30"/>
          <w:lang w:val="en-US" w:eastAsia="zh-CN"/>
        </w:rPr>
        <w:t xml:space="preserve">  </w:t>
      </w:r>
      <w:r>
        <w:rPr>
          <w:rFonts w:hint="eastAsia" w:ascii="仿宋_GB2312" w:eastAsia="仿宋_GB2312" w:hAnsiTheme="minorHAnsi"/>
          <w:sz w:val="30"/>
          <w:szCs w:val="30"/>
          <w:lang w:val="en-US" w:eastAsia="zh-CN"/>
        </w:rPr>
        <w:t>13127274866</w:t>
      </w:r>
      <w:r>
        <w:rPr>
          <w:rFonts w:hint="eastAsia" w:ascii="仿宋_GB2312" w:eastAsia="仿宋_GB2312"/>
          <w:sz w:val="30"/>
          <w:szCs w:val="30"/>
          <w:lang w:val="en-US" w:eastAsia="zh-CN"/>
        </w:rPr>
        <w:t xml:space="preserve">         </w:t>
      </w:r>
    </w:p>
    <w:p>
      <w:pPr>
        <w:spacing w:line="360" w:lineRule="auto"/>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 xml:space="preserve">          张毅    13705382602</w:t>
      </w:r>
    </w:p>
    <w:p>
      <w:pPr>
        <w:spacing w:line="360" w:lineRule="auto"/>
        <w:ind w:firstLine="1800" w:firstLineChars="600"/>
        <w:rPr>
          <w:rFonts w:hint="eastAsia" w:ascii="仿宋_GB2312" w:eastAsia="仿宋_GB2312" w:hAnsiTheme="minorHAnsi" w:cstheme="minorBidi"/>
          <w:sz w:val="30"/>
          <w:szCs w:val="30"/>
        </w:rPr>
      </w:pPr>
      <w:r>
        <w:rPr>
          <w:rFonts w:hint="eastAsia" w:ascii="仿宋_GB2312" w:eastAsia="仿宋_GB2312"/>
          <w:sz w:val="30"/>
          <w:szCs w:val="30"/>
          <w:lang w:val="en-US" w:eastAsia="zh-CN"/>
        </w:rPr>
        <w:tab/>
      </w:r>
      <w:r>
        <w:rPr>
          <w:rFonts w:hint="eastAsia" w:ascii="仿宋_GB2312" w:eastAsia="仿宋_GB2312"/>
          <w:sz w:val="30"/>
          <w:szCs w:val="30"/>
          <w:lang w:val="en-US" w:eastAsia="zh-CN"/>
        </w:rPr>
        <w:t>李成利  18605486522</w:t>
      </w:r>
    </w:p>
    <w:p>
      <w:pPr>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电子邮箱：</w:t>
      </w:r>
      <w:r>
        <w:rPr>
          <w:rFonts w:hint="eastAsia" w:ascii="仿宋_GB2312" w:hAnsi="宋体" w:eastAsia="仿宋_GB2312" w:cs="Times New Roman"/>
          <w:sz w:val="32"/>
          <w:szCs w:val="32"/>
          <w:lang w:val="en-US" w:eastAsia="zh-CN"/>
        </w:rPr>
        <w:t>aqscb8160819</w:t>
      </w:r>
      <w:r>
        <w:rPr>
          <w:rFonts w:hint="eastAsia" w:ascii="仿宋_GB2312" w:hAnsi="宋体" w:eastAsia="仿宋_GB2312" w:cs="Times New Roman"/>
          <w:sz w:val="32"/>
          <w:szCs w:val="32"/>
        </w:rPr>
        <w:t>@</w:t>
      </w:r>
      <w:r>
        <w:rPr>
          <w:rFonts w:hint="eastAsia" w:ascii="仿宋_GB2312" w:hAnsi="宋体" w:eastAsia="仿宋_GB2312" w:cs="Times New Roman"/>
          <w:sz w:val="32"/>
          <w:szCs w:val="32"/>
          <w:lang w:val="en-US" w:eastAsia="zh-CN"/>
        </w:rPr>
        <w:t>163</w:t>
      </w:r>
      <w:r>
        <w:rPr>
          <w:rFonts w:hint="eastAsia" w:ascii="仿宋_GB2312" w:hAnsi="宋体" w:eastAsia="仿宋_GB2312" w:cs="Times New Roman"/>
          <w:sz w:val="32"/>
          <w:szCs w:val="32"/>
        </w:rPr>
        <w:t xml:space="preserve">.com </w:t>
      </w:r>
    </w:p>
    <w:p>
      <w:pPr>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纪检部门联系人：</w:t>
      </w:r>
      <w:r>
        <w:rPr>
          <w:rFonts w:hint="eastAsia" w:ascii="仿宋_GB2312" w:hAnsi="宋体" w:eastAsia="仿宋_GB2312" w:cs="Times New Roman"/>
          <w:sz w:val="32"/>
          <w:szCs w:val="32"/>
          <w:lang w:eastAsia="zh-CN"/>
        </w:rPr>
        <w:t>张宗文</w:t>
      </w:r>
      <w:r>
        <w:rPr>
          <w:rFonts w:hint="eastAsia" w:ascii="仿宋_GB2312" w:hAnsi="宋体" w:eastAsia="仿宋_GB2312" w:cs="Times New Roman"/>
          <w:sz w:val="32"/>
          <w:szCs w:val="32"/>
        </w:rPr>
        <w:t xml:space="preserve">  </w:t>
      </w:r>
    </w:p>
    <w:p>
      <w:pPr>
        <w:ind w:firstLine="640" w:firstLineChars="200"/>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rPr>
        <w:t>联系电话：053</w:t>
      </w:r>
      <w:r>
        <w:rPr>
          <w:rFonts w:hint="eastAsia" w:ascii="仿宋_GB2312" w:hAnsi="宋体" w:eastAsia="仿宋_GB2312" w:cs="Times New Roman"/>
          <w:sz w:val="32"/>
          <w:szCs w:val="32"/>
          <w:lang w:val="en-US" w:eastAsia="zh-CN"/>
        </w:rPr>
        <w:t>8</w:t>
      </w:r>
      <w:r>
        <w:rPr>
          <w:rFonts w:hint="eastAsia" w:ascii="仿宋_GB2312" w:hAnsi="宋体" w:eastAsia="仿宋_GB2312" w:cs="Times New Roman"/>
          <w:sz w:val="32"/>
          <w:szCs w:val="32"/>
        </w:rPr>
        <w:t>-</w:t>
      </w:r>
      <w:r>
        <w:rPr>
          <w:rFonts w:hint="eastAsia" w:ascii="仿宋_GB2312" w:hAnsi="宋体" w:eastAsia="仿宋_GB2312" w:cs="Times New Roman"/>
          <w:sz w:val="32"/>
          <w:szCs w:val="32"/>
          <w:lang w:val="en-US" w:eastAsia="zh-CN"/>
        </w:rPr>
        <w:t>8160666</w:t>
      </w:r>
    </w:p>
    <w:p>
      <w:pPr>
        <w:jc w:val="center"/>
        <w:rPr>
          <w:rFonts w:hint="eastAsia" w:ascii="方正小标宋简体" w:hAnsi="黑体" w:eastAsia="方正小标宋简体" w:cs="Times New Roman"/>
          <w:kern w:val="44"/>
          <w:sz w:val="44"/>
          <w:szCs w:val="44"/>
        </w:rPr>
      </w:pPr>
    </w:p>
    <w:p>
      <w:pPr>
        <w:jc w:val="center"/>
        <w:rPr>
          <w:rFonts w:ascii="方正小标宋简体" w:hAnsi="黑体" w:eastAsia="方正小标宋简体" w:cs="Times New Roman"/>
          <w:kern w:val="44"/>
          <w:sz w:val="44"/>
          <w:szCs w:val="44"/>
        </w:rPr>
      </w:pPr>
      <w:r>
        <w:rPr>
          <w:rFonts w:hint="eastAsia" w:ascii="方正小标宋简体" w:hAnsi="黑体" w:eastAsia="方正小标宋简体" w:cs="Times New Roman"/>
          <w:kern w:val="44"/>
          <w:sz w:val="44"/>
          <w:szCs w:val="44"/>
        </w:rPr>
        <w:t>第二章 投标人须知</w:t>
      </w:r>
    </w:p>
    <w:p>
      <w:pPr>
        <w:spacing w:line="400" w:lineRule="exact"/>
        <w:jc w:val="center"/>
        <w:rPr>
          <w:rFonts w:ascii="方正小标宋简体" w:hAnsi="黑体" w:eastAsia="方正小标宋简体" w:cs="Times New Roman"/>
          <w:kern w:val="44"/>
          <w:sz w:val="44"/>
          <w:szCs w:val="44"/>
        </w:rPr>
      </w:pPr>
    </w:p>
    <w:p>
      <w:pPr>
        <w:ind w:firstLine="640" w:firstLineChars="200"/>
        <w:rPr>
          <w:rFonts w:ascii="黑体" w:hAnsi="黑体" w:eastAsia="黑体" w:cs="Times New Roman"/>
          <w:kern w:val="44"/>
          <w:sz w:val="32"/>
          <w:szCs w:val="44"/>
        </w:rPr>
      </w:pPr>
      <w:r>
        <w:rPr>
          <w:rFonts w:hint="eastAsia" w:ascii="黑体" w:hAnsi="黑体" w:eastAsia="黑体" w:cs="Times New Roman"/>
          <w:kern w:val="44"/>
          <w:sz w:val="32"/>
          <w:szCs w:val="44"/>
        </w:rPr>
        <w:t>一、要求说明</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（一）本招标文件仅适用于本次招标公告中所叙述的项目。</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（二）采用中标供应商评价机制，如中标单位在合同期内如出现重大质量、安全责任事故、劳资纠纷、不服从甲方管理等情况，则该供应商将被列入不良行为记录名单，甲方有权追究中标人的经济责任。</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（三）供应商必须未列入失信被执行人名单，如供应商列入失信被执行人名单，将按无效投标处理。</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四）无论基于何种原因，各项本应作拒绝处理的情形即便未被及时发现而使该供应商进入初审、综合评标或其它后续程序，包括已经签订合同的情形，一旦在任何时间被发现存在上述情形，则采购人或采购代理机构均有权随时视情形决定是否取消该供应商的此前评议结果，或随时视情形决定是否对该投标予以拒绝，并有权决定采取相应的补救或纠正措施，供应商必须无条件服从。</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（五）供应商在办理与投标项目相关的所有事宜过程中，必须提供授权委托书、授权代表身份证及加盖公章的复印件，否则，有权不予受理。</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（六）供应商提供的所有资料必须真实、有效。评标工作结束后，</w:t>
      </w:r>
      <w:r>
        <w:rPr>
          <w:rFonts w:hint="eastAsia" w:ascii="仿宋_GB2312" w:hAnsi="黑体" w:eastAsia="仿宋_GB2312" w:cs="Times New Roman"/>
          <w:kern w:val="44"/>
          <w:sz w:val="32"/>
          <w:szCs w:val="44"/>
          <w:lang w:eastAsia="zh-CN"/>
        </w:rPr>
        <w:t>采购人</w:t>
      </w:r>
      <w:r>
        <w:rPr>
          <w:rFonts w:hint="eastAsia" w:ascii="仿宋_GB2312" w:hAnsi="黑体" w:eastAsia="仿宋_GB2312" w:cs="Times New Roman"/>
          <w:kern w:val="44"/>
          <w:sz w:val="32"/>
          <w:szCs w:val="44"/>
        </w:rPr>
        <w:t>有权视情况对投标单位提供资料的真实情况进行再次核查，投标单位必须无条件积极配合，如不配合，则视为存在造假行为。如投标单位存在造假行为，甲方有权追究该投标单位的经济责任，甲方有权将该投标单位列入不良行为记录名单，并按《中华人民共和国政府采购法》、《中华人民共和国招标投标法》等相关法律规定处罚。</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七）对于投标单位不配合评标委员会要求提供相关证明、澄清，或者有企图影响招标结果等行为，或者存在采购人认定的其他恶意行为，甲方有权追究该投标单位的经济责任，甲方有权将该投标单位列入不良行为记录名单。</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（八）其</w:t>
      </w:r>
      <w:r>
        <w:rPr>
          <w:rFonts w:hint="eastAsia" w:ascii="仿宋_GB2312" w:hAnsi="黑体" w:eastAsia="仿宋_GB2312" w:cs="Times New Roman"/>
          <w:kern w:val="44"/>
          <w:sz w:val="32"/>
          <w:szCs w:val="44"/>
          <w:lang w:eastAsia="zh-CN"/>
        </w:rPr>
        <w:t>它</w:t>
      </w:r>
      <w:r>
        <w:rPr>
          <w:rFonts w:hint="eastAsia" w:ascii="仿宋_GB2312" w:hAnsi="黑体" w:eastAsia="仿宋_GB2312" w:cs="Times New Roman"/>
          <w:kern w:val="44"/>
          <w:sz w:val="32"/>
          <w:szCs w:val="44"/>
        </w:rPr>
        <w:t>要求</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1、供应商应对其提供的所有货物和服务（包括货物和服务的所有内容），保证甲方免受任何第三方主张任何权利。</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2、如第三人对合同标的物（货物和服务）主张权利的侵权损害赔偿请求，甲方有权解除合同且不承担任何赔偿责任，并追究供应商的违约责任。</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3、在合同履行过程中，甲方有确切证据证明第三方可能就合同标的物（货物和服务）主张权利的，甲方有权中止支付相应的价款，并追究供应商的违约责任。</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4、因为第三方对甲方主张权利而发生的纠纷，供应商应承担相应的法律责任和诉讼费用、律师费用、其他为解除纠纷而发生的费用以及由此给甲方造成的所有经济损失。</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5、以上所指权利包括但不仅限于供应商所提供货物和服务的所有权、知识产权、债权、担保物权、用益物权等权利。</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6、质疑处理</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参加本项目采购活动的供应商对本次采购活动的询问、质疑和投诉，依照有关采购法律制度规定执行。供应商认为招标文件、评审过程、中标或者成交结果使自己的权益受到损害的，可以在知道或者应知其权益受到损害之日起7个工作日内，以书面形式向采购人提出质疑。供应商应在法定质疑期内一次性提出针对同一采购程序环节的质疑，否则不予受理。提出质疑的供应商应当是参与所质疑项目采购活动的供应商。潜在供应商已依法获取其可质疑的招标文件的，可以对该文件提出质疑，其未参加后续采购活动，不得对递交投标文件截止后的采购过程、采购结果提出质疑。对招标文件提出质疑的，应当在获取招标文件或者招标文件公告期限届满之日起7个工作日内提出。供应商提出质疑应当提交质疑函和必要的证明材料，应采取法定代表人、主要负责人，或者其授权代表直接送达纸质版方式提交质疑函。质疑函应当包括下列内容：</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（1）供应商的姓名或者名称、地址、邮编、联系人及联系电话；</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（2）质疑项目的名称、编号；</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（3）具体、明确的质疑事项和与质疑事项相关的请求；</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（4）事实依据；</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（5）必要的法律依据；</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（6）提出质疑的日期。</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供应商为自然人的，应当由本人签字；供应商为法人或者其他组织的，应当由法定代表人、主要负责人，或者其授权代表签字或者盖章，并加盖公章。采购人、采购代理机构在收到质疑函后7个工作日内作出答复，并以书面形式通知质疑供应商和其他有关供应商。接受质疑函联系人、电话及地址详见招标公告。</w:t>
      </w:r>
    </w:p>
    <w:p>
      <w:pPr>
        <w:ind w:firstLine="640" w:firstLineChars="200"/>
        <w:rPr>
          <w:rFonts w:ascii="黑体" w:hAnsi="黑体" w:eastAsia="黑体" w:cs="Times New Roman"/>
          <w:kern w:val="44"/>
          <w:sz w:val="32"/>
          <w:szCs w:val="44"/>
        </w:rPr>
      </w:pPr>
      <w:r>
        <w:rPr>
          <w:rFonts w:hint="eastAsia" w:ascii="黑体" w:hAnsi="黑体" w:eastAsia="黑体" w:cs="Times New Roman"/>
          <w:kern w:val="44"/>
          <w:sz w:val="32"/>
          <w:szCs w:val="44"/>
        </w:rPr>
        <w:t>二、虚假材料说明</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供应商必须对其投标文件中提供各种资料、说明的真实性负责。在评标过程中，如果发现供应商有为谋取中标而提供虚假资料欺骗采购人和评委的行为，将取消其中标资格，</w:t>
      </w:r>
      <w:r>
        <w:rPr>
          <w:rFonts w:hint="eastAsia" w:ascii="仿宋_GB2312" w:hAnsi="黑体" w:eastAsia="仿宋_GB2312" w:cs="Times New Roman"/>
          <w:kern w:val="44"/>
          <w:sz w:val="32"/>
          <w:szCs w:val="44"/>
          <w:lang w:eastAsia="zh-CN"/>
        </w:rPr>
        <w:t>如有则</w:t>
      </w:r>
      <w:r>
        <w:rPr>
          <w:rFonts w:hint="eastAsia" w:ascii="仿宋_GB2312" w:hAnsi="黑体" w:eastAsia="仿宋_GB2312" w:cs="Times New Roman"/>
          <w:kern w:val="44"/>
          <w:sz w:val="32"/>
          <w:szCs w:val="44"/>
        </w:rPr>
        <w:t>其投标保证金将不予退还。定标后，采购人有可能对中标人投标文件中的承诺内容和证明材料进行核查，中标人应无条件配合采购人的核查工作，不得托词拒绝核查或隐瞒真实情况。若在中标后签订合同时，发现中标人是提供虚假材料谋取中标等违法违规行为，采购人将取消其中标人资格，其投标保证金将不予退还，给采购人造成损失的，还必须进行赔偿并负相关责任。</w:t>
      </w:r>
    </w:p>
    <w:p>
      <w:pPr>
        <w:ind w:firstLine="640" w:firstLineChars="200"/>
        <w:jc w:val="left"/>
        <w:rPr>
          <w:rFonts w:ascii="黑体" w:hAnsi="黑体" w:eastAsia="黑体" w:cs="Times New Roman"/>
          <w:kern w:val="44"/>
          <w:sz w:val="32"/>
          <w:szCs w:val="44"/>
        </w:rPr>
      </w:pPr>
      <w:r>
        <w:rPr>
          <w:rFonts w:hint="eastAsia" w:ascii="黑体" w:hAnsi="黑体" w:eastAsia="黑体" w:cs="Times New Roman"/>
          <w:kern w:val="44"/>
          <w:sz w:val="32"/>
          <w:szCs w:val="44"/>
        </w:rPr>
        <w:t>三、定义</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（一）“采购人”系指：山东</w:t>
      </w:r>
      <w:r>
        <w:rPr>
          <w:rFonts w:hint="eastAsia" w:ascii="仿宋_GB2312" w:hAnsi="黑体" w:eastAsia="仿宋_GB2312" w:cs="Times New Roman"/>
          <w:kern w:val="44"/>
          <w:sz w:val="32"/>
          <w:szCs w:val="44"/>
          <w:lang w:eastAsia="zh-CN"/>
        </w:rPr>
        <w:t>岱岳制盐</w:t>
      </w:r>
      <w:r>
        <w:rPr>
          <w:rFonts w:hint="eastAsia" w:ascii="仿宋_GB2312" w:hAnsi="黑体" w:eastAsia="仿宋_GB2312" w:cs="Times New Roman"/>
          <w:kern w:val="44"/>
          <w:sz w:val="32"/>
          <w:szCs w:val="44"/>
        </w:rPr>
        <w:t>有限公司。</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（二）“供应商”系指：向采购人获取招标文件并提交投标文件的企业。</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（三）“中标人”系指：由评标委员会对供应商综合评审后，评选出的对招标文件做出实质性响应、综合竞争实力最优、报价合理、有能力为采购人提供货物和服务，遵守投标文件的承诺，赢得供货</w:t>
      </w:r>
      <w:r>
        <w:rPr>
          <w:rFonts w:hint="eastAsia" w:ascii="仿宋_GB2312" w:hAnsi="黑体" w:eastAsia="仿宋_GB2312" w:cs="Times New Roman"/>
          <w:kern w:val="44"/>
          <w:sz w:val="32"/>
          <w:szCs w:val="44"/>
          <w:lang w:eastAsia="zh-CN"/>
        </w:rPr>
        <w:t>（服务）</w:t>
      </w:r>
      <w:r>
        <w:rPr>
          <w:rFonts w:hint="eastAsia" w:ascii="仿宋_GB2312" w:hAnsi="黑体" w:eastAsia="仿宋_GB2312" w:cs="Times New Roman"/>
          <w:kern w:val="44"/>
          <w:sz w:val="32"/>
          <w:szCs w:val="44"/>
        </w:rPr>
        <w:t>合同的供应商。</w:t>
      </w:r>
    </w:p>
    <w:p>
      <w:pPr>
        <w:ind w:firstLine="640" w:firstLineChars="200"/>
        <w:rPr>
          <w:rFonts w:ascii="黑体" w:hAnsi="黑体" w:eastAsia="黑体" w:cs="Times New Roman"/>
          <w:kern w:val="44"/>
          <w:sz w:val="32"/>
          <w:szCs w:val="44"/>
        </w:rPr>
      </w:pPr>
      <w:r>
        <w:rPr>
          <w:rFonts w:hint="eastAsia" w:ascii="黑体" w:hAnsi="黑体" w:eastAsia="黑体" w:cs="Times New Roman"/>
          <w:kern w:val="44"/>
          <w:sz w:val="32"/>
          <w:szCs w:val="44"/>
        </w:rPr>
        <w:t>四、招标文件说明</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（一）招标文件的组成</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1、招标公告</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2、投标人须知</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3、评标办法</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（二）招标文件的修改</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采购人对招标文件必须修改的内容，须在招标文件要求提交投标文件截止时间2日前，招标文件的澄清或变更将</w:t>
      </w:r>
      <w:r>
        <w:rPr>
          <w:rFonts w:hint="eastAsia" w:ascii="仿宋_GB2312" w:hAnsi="黑体" w:eastAsia="仿宋_GB2312" w:cs="Times New Roman"/>
          <w:kern w:val="44"/>
          <w:sz w:val="32"/>
          <w:szCs w:val="44"/>
          <w:lang w:eastAsia="zh-CN"/>
        </w:rPr>
        <w:t>隆道云</w:t>
      </w:r>
      <w:r>
        <w:rPr>
          <w:rFonts w:hint="eastAsia" w:ascii="仿宋_GB2312" w:hAnsi="黑体" w:eastAsia="仿宋_GB2312" w:cs="Times New Roman"/>
          <w:kern w:val="44"/>
          <w:sz w:val="32"/>
          <w:szCs w:val="44"/>
        </w:rPr>
        <w:t>招标采购平台发布，但不指明澄清问题的来源，澄清或变更文件将作为招标文件的组成部分，对所有供应商均具有约束力。供应商应及时关注以上网站信息，如若因查看不及时或自身原因所造成的投标文件编制不响应招标文件要求，后果自负。</w:t>
      </w:r>
    </w:p>
    <w:p>
      <w:pPr>
        <w:ind w:firstLine="640" w:firstLineChars="200"/>
        <w:rPr>
          <w:rFonts w:ascii="黑体" w:hAnsi="黑体" w:eastAsia="黑体" w:cs="Times New Roman"/>
          <w:kern w:val="44"/>
          <w:sz w:val="32"/>
          <w:szCs w:val="44"/>
          <w:u w:val="none"/>
        </w:rPr>
      </w:pPr>
      <w:r>
        <w:rPr>
          <w:rFonts w:hint="eastAsia" w:ascii="黑体" w:hAnsi="黑体" w:eastAsia="黑体" w:cs="Times New Roman"/>
          <w:kern w:val="44"/>
          <w:sz w:val="32"/>
          <w:szCs w:val="44"/>
          <w:u w:val="none"/>
        </w:rPr>
        <w:t>五、投标文件的编写</w:t>
      </w:r>
    </w:p>
    <w:p>
      <w:pPr>
        <w:ind w:firstLine="640" w:firstLineChars="200"/>
        <w:rPr>
          <w:rFonts w:ascii="仿宋_GB2312" w:hAnsi="黑体" w:eastAsia="仿宋_GB2312" w:cs="Times New Roman"/>
          <w:kern w:val="44"/>
          <w:sz w:val="32"/>
          <w:szCs w:val="44"/>
          <w:u w:val="none"/>
        </w:rPr>
      </w:pPr>
      <w:r>
        <w:rPr>
          <w:rFonts w:hint="eastAsia" w:ascii="仿宋_GB2312" w:hAnsi="黑体" w:eastAsia="仿宋_GB2312" w:cs="Times New Roman"/>
          <w:kern w:val="44"/>
          <w:sz w:val="32"/>
          <w:szCs w:val="44"/>
          <w:u w:val="none"/>
        </w:rPr>
        <w:t>供应商应仔细阅读招标文件的所有内容，按招标文件的要求提供投标文件，并保证所提供的全部资料的真实性、准确性及完整性，以使其投标对招标文件做出实质性响应。否则，其投标有可能被拒绝。</w:t>
      </w:r>
    </w:p>
    <w:p>
      <w:pPr>
        <w:ind w:firstLine="640" w:firstLineChars="200"/>
        <w:rPr>
          <w:rFonts w:hint="eastAsia" w:ascii="仿宋_GB2312" w:hAnsi="黑体" w:eastAsia="仿宋_GB2312" w:cs="Times New Roman"/>
          <w:kern w:val="44"/>
          <w:sz w:val="32"/>
          <w:szCs w:val="44"/>
          <w:u w:val="none"/>
          <w:lang w:val="zh-CN" w:eastAsia="zh-CN"/>
        </w:rPr>
      </w:pPr>
      <w:bookmarkStart w:id="1" w:name="_Toc5285"/>
      <w:r>
        <w:rPr>
          <w:rFonts w:hint="eastAsia" w:ascii="仿宋_GB2312" w:hAnsi="黑体" w:eastAsia="仿宋_GB2312" w:cs="Times New Roman"/>
          <w:kern w:val="44"/>
          <w:sz w:val="32"/>
          <w:szCs w:val="44"/>
          <w:u w:val="none"/>
          <w:lang w:val="en-US" w:eastAsia="zh-CN"/>
        </w:rPr>
        <w:t>（一）</w:t>
      </w:r>
      <w:r>
        <w:rPr>
          <w:rFonts w:hint="eastAsia" w:ascii="仿宋_GB2312" w:hAnsi="黑体" w:eastAsia="仿宋_GB2312" w:cs="Times New Roman"/>
          <w:kern w:val="44"/>
          <w:sz w:val="32"/>
          <w:szCs w:val="44"/>
          <w:u w:val="none"/>
          <w:lang w:val="zh-CN" w:eastAsia="zh-CN"/>
        </w:rPr>
        <w:t>报价文件的组成</w:t>
      </w:r>
      <w:bookmarkEnd w:id="1"/>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1.1 报价文件包含资格证明文件、技术部分和商务部分。</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1.2 报价文件至少应包括下列内容：</w:t>
      </w:r>
    </w:p>
    <w:p>
      <w:pPr>
        <w:ind w:firstLine="640" w:firstLineChars="200"/>
        <w:rPr>
          <w:rFonts w:hint="eastAsia" w:ascii="仿宋_GB2312" w:hAnsi="黑体" w:eastAsia="仿宋_GB2312" w:cs="Times New Roman"/>
          <w:kern w:val="44"/>
          <w:sz w:val="32"/>
          <w:szCs w:val="44"/>
          <w:u w:val="none"/>
          <w:lang w:val="zh-CN" w:eastAsia="zh-CN"/>
        </w:rPr>
      </w:pPr>
      <w:bookmarkStart w:id="2" w:name="_Toc27562"/>
      <w:bookmarkStart w:id="3" w:name="_Toc3112"/>
      <w:r>
        <w:rPr>
          <w:rFonts w:hint="eastAsia" w:ascii="仿宋_GB2312" w:hAnsi="黑体" w:eastAsia="仿宋_GB2312" w:cs="Times New Roman"/>
          <w:kern w:val="44"/>
          <w:sz w:val="32"/>
          <w:szCs w:val="44"/>
          <w:u w:val="none"/>
          <w:lang w:val="zh-CN" w:eastAsia="zh-CN"/>
        </w:rPr>
        <w:t>1.2.1资格证明文件</w:t>
      </w:r>
      <w:bookmarkEnd w:id="2"/>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（1）供应商简况表；</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（2）营业执照副本复印件（加盖公章）；</w:t>
      </w:r>
    </w:p>
    <w:p>
      <w:pPr>
        <w:ind w:firstLine="640" w:firstLineChars="200"/>
        <w:rPr>
          <w:rFonts w:hint="eastAsia" w:ascii="仿宋_GB2312" w:hAnsi="黑体" w:eastAsia="仿宋_GB2312" w:cs="Times New Roman"/>
          <w:kern w:val="44"/>
          <w:sz w:val="32"/>
          <w:szCs w:val="44"/>
          <w:u w:val="none"/>
          <w:lang w:val="en-US" w:eastAsia="zh-CN"/>
        </w:rPr>
      </w:pPr>
      <w:r>
        <w:rPr>
          <w:rFonts w:hint="eastAsia" w:ascii="仿宋_GB2312" w:hAnsi="黑体" w:eastAsia="仿宋_GB2312" w:cs="Times New Roman"/>
          <w:kern w:val="44"/>
          <w:sz w:val="32"/>
          <w:szCs w:val="44"/>
          <w:u w:val="none"/>
          <w:lang w:val="zh-CN" w:eastAsia="zh-CN"/>
        </w:rPr>
        <w:t>（</w:t>
      </w:r>
      <w:r>
        <w:rPr>
          <w:rFonts w:hint="eastAsia" w:ascii="仿宋_GB2312" w:hAnsi="黑体" w:eastAsia="仿宋_GB2312" w:cs="Times New Roman"/>
          <w:kern w:val="44"/>
          <w:sz w:val="32"/>
          <w:szCs w:val="44"/>
          <w:u w:val="none"/>
          <w:lang w:val="en-US" w:eastAsia="zh-CN"/>
        </w:rPr>
        <w:t>3</w:t>
      </w:r>
      <w:r>
        <w:rPr>
          <w:rFonts w:hint="eastAsia" w:ascii="仿宋_GB2312" w:hAnsi="黑体" w:eastAsia="仿宋_GB2312" w:cs="Times New Roman"/>
          <w:kern w:val="44"/>
          <w:sz w:val="32"/>
          <w:szCs w:val="44"/>
          <w:u w:val="none"/>
          <w:lang w:val="zh-CN" w:eastAsia="zh-CN"/>
        </w:rPr>
        <w:t>）</w:t>
      </w:r>
      <w:r>
        <w:rPr>
          <w:rFonts w:hint="eastAsia" w:ascii="仿宋_GB2312" w:hAnsi="黑体" w:eastAsia="仿宋_GB2312" w:cs="Times New Roman"/>
          <w:kern w:val="44"/>
          <w:sz w:val="32"/>
          <w:szCs w:val="44"/>
          <w:u w:val="none"/>
          <w:lang w:val="en-US" w:eastAsia="zh-CN"/>
        </w:rPr>
        <w:t>近2年以来的类似工程业绩合同（时间以合同签订时间为准）；</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en-US" w:eastAsia="zh-CN"/>
        </w:rPr>
        <w:t>（4）</w:t>
      </w:r>
      <w:r>
        <w:rPr>
          <w:rFonts w:hint="eastAsia" w:ascii="仿宋_GB2312" w:hAnsi="黑体" w:eastAsia="仿宋_GB2312" w:cs="Times New Roman"/>
          <w:kern w:val="44"/>
          <w:sz w:val="32"/>
          <w:szCs w:val="44"/>
          <w:u w:val="none"/>
          <w:lang w:val="zh-CN" w:eastAsia="zh-CN"/>
        </w:rPr>
        <w:t>法人代表人授权委托书；</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1.2.2商务部分</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（1）报价单（必须加盖公章，否则报价无效）；</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（2）</w:t>
      </w:r>
      <w:r>
        <w:rPr>
          <w:rFonts w:hint="eastAsia" w:ascii="仿宋_GB2312" w:hAnsi="黑体" w:eastAsia="仿宋_GB2312" w:cs="Times New Roman"/>
          <w:kern w:val="44"/>
          <w:sz w:val="32"/>
          <w:szCs w:val="44"/>
          <w:u w:val="none"/>
          <w:lang w:val="en-US" w:eastAsia="zh-CN"/>
        </w:rPr>
        <w:t>能证明供应商专业性的资质文件，如ISO9001质量管理体系认证证书、安全生产许可证、建筑施工总承包资质、机电安装工程专业承包资质等</w:t>
      </w:r>
      <w:r>
        <w:rPr>
          <w:rFonts w:hint="eastAsia" w:ascii="仿宋_GB2312" w:hAnsi="黑体" w:eastAsia="仿宋_GB2312" w:cs="Times New Roman"/>
          <w:kern w:val="44"/>
          <w:sz w:val="32"/>
          <w:szCs w:val="44"/>
          <w:u w:val="none"/>
          <w:lang w:val="zh-CN" w:eastAsia="zh-CN"/>
        </w:rPr>
        <w:t>；</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w:t>
      </w:r>
      <w:r>
        <w:rPr>
          <w:rFonts w:hint="eastAsia" w:ascii="仿宋_GB2312" w:hAnsi="黑体" w:eastAsia="仿宋_GB2312" w:cs="Times New Roman"/>
          <w:kern w:val="44"/>
          <w:sz w:val="32"/>
          <w:szCs w:val="44"/>
          <w:u w:val="none"/>
          <w:lang w:val="en-US" w:eastAsia="zh-CN"/>
        </w:rPr>
        <w:t>3）</w:t>
      </w:r>
      <w:r>
        <w:rPr>
          <w:rFonts w:hint="eastAsia" w:ascii="仿宋_GB2312" w:hAnsi="黑体" w:eastAsia="仿宋_GB2312" w:cs="Times New Roman"/>
          <w:kern w:val="44"/>
          <w:sz w:val="32"/>
          <w:szCs w:val="44"/>
          <w:u w:val="none"/>
          <w:lang w:val="zh-CN" w:eastAsia="zh-CN"/>
        </w:rPr>
        <w:t>供应商认为有必要提供的其他资料。</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1.2.3技术部分</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 xml:space="preserve">（1）供应商需自行组织详细的施工方案，详述离心机配重块建设及基座改造施工方案、安全施工方案等内容，评标委员会将根据各自提供的施工方案进行评比打分并评选出最佳方案； </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（2）施工方案：包括但不限于劳动力、机械设备和材料投入计划等；</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（3）安全施工方案：包括但不限于任何可能的紧急情况的处理措施、预案以及抵抗风险（包括工程施工过程及储罐拆除、运输及安装过程中可能遇到的各种风险）的措施、现场环境保护措施等；</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w:t>
      </w:r>
      <w:r>
        <w:rPr>
          <w:rFonts w:hint="eastAsia" w:ascii="仿宋_GB2312" w:hAnsi="黑体" w:eastAsia="仿宋_GB2312" w:cs="Times New Roman"/>
          <w:kern w:val="44"/>
          <w:sz w:val="32"/>
          <w:szCs w:val="44"/>
          <w:u w:val="none"/>
          <w:lang w:val="en-US" w:eastAsia="zh-CN"/>
        </w:rPr>
        <w:t>4</w:t>
      </w:r>
      <w:r>
        <w:rPr>
          <w:rFonts w:hint="eastAsia" w:ascii="仿宋_GB2312" w:hAnsi="黑体" w:eastAsia="仿宋_GB2312" w:cs="Times New Roman"/>
          <w:kern w:val="44"/>
          <w:sz w:val="32"/>
          <w:szCs w:val="44"/>
          <w:u w:val="none"/>
          <w:lang w:val="zh-CN" w:eastAsia="zh-CN"/>
        </w:rPr>
        <w:t>）施工总进度计划及保证措施：包括以横道图、保障进度计划需要的主要施工机械设备、劳动力需求计划及保证措施、材料设备进场计划及其他保证措施等；</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w:t>
      </w:r>
      <w:r>
        <w:rPr>
          <w:rFonts w:hint="eastAsia" w:ascii="仿宋_GB2312" w:hAnsi="黑体" w:eastAsia="仿宋_GB2312" w:cs="Times New Roman"/>
          <w:kern w:val="44"/>
          <w:sz w:val="32"/>
          <w:szCs w:val="44"/>
          <w:u w:val="none"/>
          <w:lang w:val="en-US" w:eastAsia="zh-CN"/>
        </w:rPr>
        <w:t>5</w:t>
      </w:r>
      <w:r>
        <w:rPr>
          <w:rFonts w:hint="eastAsia" w:ascii="仿宋_GB2312" w:hAnsi="黑体" w:eastAsia="仿宋_GB2312" w:cs="Times New Roman"/>
          <w:kern w:val="44"/>
          <w:sz w:val="32"/>
          <w:szCs w:val="44"/>
          <w:u w:val="none"/>
          <w:lang w:val="zh-CN" w:eastAsia="zh-CN"/>
        </w:rPr>
        <w:t>）供应商认为有必要提供的其他资料。</w:t>
      </w:r>
    </w:p>
    <w:p>
      <w:pPr>
        <w:ind w:firstLine="640" w:firstLineChars="200"/>
        <w:rPr>
          <w:rFonts w:hint="eastAsia" w:ascii="仿宋_GB2312" w:hAnsi="黑体" w:eastAsia="仿宋_GB2312" w:cs="Times New Roman"/>
          <w:kern w:val="44"/>
          <w:sz w:val="32"/>
          <w:szCs w:val="44"/>
          <w:u w:val="none"/>
          <w:lang w:val="zh-CN" w:eastAsia="zh-CN"/>
        </w:rPr>
      </w:pPr>
      <w:r>
        <w:rPr>
          <w:rFonts w:hint="eastAsia" w:ascii="仿宋_GB2312" w:hAnsi="黑体" w:eastAsia="仿宋_GB2312" w:cs="Times New Roman"/>
          <w:kern w:val="44"/>
          <w:sz w:val="32"/>
          <w:szCs w:val="44"/>
          <w:u w:val="none"/>
          <w:lang w:val="zh-CN" w:eastAsia="zh-CN"/>
        </w:rPr>
        <w:t>备注：格式自拟，请供应商按照相关要求自行编制；</w:t>
      </w:r>
    </w:p>
    <w:bookmarkEnd w:id="3"/>
    <w:p>
      <w:pPr>
        <w:ind w:firstLine="640" w:firstLineChars="200"/>
        <w:rPr>
          <w:rFonts w:hint="default" w:ascii="仿宋_GB2312" w:hAnsi="黑体" w:eastAsia="仿宋_GB2312" w:cs="Times New Roman"/>
          <w:kern w:val="44"/>
          <w:sz w:val="32"/>
          <w:szCs w:val="44"/>
          <w:u w:val="none"/>
          <w:lang w:val="en-US" w:eastAsia="zh-CN"/>
        </w:rPr>
      </w:pPr>
      <w:r>
        <w:rPr>
          <w:rFonts w:hint="eastAsia" w:ascii="仿宋_GB2312" w:hAnsi="黑体" w:eastAsia="仿宋_GB2312" w:cs="Times New Roman"/>
          <w:kern w:val="44"/>
          <w:sz w:val="32"/>
          <w:szCs w:val="44"/>
          <w:u w:val="none"/>
          <w:lang w:val="zh-CN" w:eastAsia="zh-CN"/>
        </w:rPr>
        <w:t>1.3 报价文件的内容必须属实，任何夸张和不实的行为都会被认为是对</w:t>
      </w:r>
      <w:r>
        <w:rPr>
          <w:rFonts w:hint="eastAsia" w:ascii="仿宋_GB2312" w:hAnsi="黑体" w:eastAsia="仿宋_GB2312" w:cs="Times New Roman"/>
          <w:kern w:val="44"/>
          <w:sz w:val="32"/>
          <w:szCs w:val="44"/>
          <w:u w:val="none"/>
          <w:lang w:val="en-US" w:eastAsia="zh-CN"/>
        </w:rPr>
        <w:t>报价</w:t>
      </w:r>
      <w:r>
        <w:rPr>
          <w:rFonts w:hint="eastAsia" w:ascii="仿宋_GB2312" w:hAnsi="黑体" w:eastAsia="仿宋_GB2312" w:cs="Times New Roman"/>
          <w:kern w:val="44"/>
          <w:sz w:val="32"/>
          <w:szCs w:val="44"/>
          <w:u w:val="none"/>
          <w:lang w:val="zh-CN" w:eastAsia="zh-CN"/>
        </w:rPr>
        <w:t>文件的不响应。</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w:t>
      </w:r>
      <w:r>
        <w:rPr>
          <w:rFonts w:hint="eastAsia" w:ascii="仿宋_GB2312" w:hAnsi="黑体" w:eastAsia="仿宋_GB2312" w:cs="Times New Roman"/>
          <w:kern w:val="44"/>
          <w:sz w:val="32"/>
          <w:szCs w:val="44"/>
          <w:lang w:eastAsia="zh-CN"/>
        </w:rPr>
        <w:t>二</w:t>
      </w:r>
      <w:r>
        <w:rPr>
          <w:rFonts w:hint="eastAsia" w:ascii="仿宋_GB2312" w:hAnsi="黑体" w:eastAsia="仿宋_GB2312" w:cs="Times New Roman"/>
          <w:kern w:val="44"/>
          <w:sz w:val="32"/>
          <w:szCs w:val="44"/>
        </w:rPr>
        <w:t>）投标文件的版式</w:t>
      </w:r>
    </w:p>
    <w:p>
      <w:pPr>
        <w:ind w:firstLine="640" w:firstLineChars="200"/>
        <w:rPr>
          <w:rFonts w:ascii="仿宋_GB2312" w:hAnsi="黑体" w:eastAsia="仿宋_GB2312" w:cs="Times New Roman"/>
          <w:kern w:val="44"/>
          <w:sz w:val="32"/>
          <w:szCs w:val="44"/>
          <w:u w:val="none"/>
        </w:rPr>
      </w:pPr>
      <w:r>
        <w:rPr>
          <w:rFonts w:hint="eastAsia" w:ascii="仿宋_GB2312" w:hAnsi="黑体" w:eastAsia="仿宋_GB2312" w:cs="Times New Roman"/>
          <w:kern w:val="44"/>
          <w:sz w:val="32"/>
          <w:szCs w:val="44"/>
          <w:u w:val="none"/>
        </w:rPr>
        <w:t>供应商必须将投标文件按顺序合并于一个PDF文件或word文件中，编制目录索引，并插入页码，封皮需法人签字并盖章。</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w:t>
      </w:r>
      <w:r>
        <w:rPr>
          <w:rFonts w:hint="eastAsia" w:ascii="仿宋_GB2312" w:hAnsi="黑体" w:eastAsia="仿宋_GB2312" w:cs="Times New Roman"/>
          <w:kern w:val="44"/>
          <w:sz w:val="32"/>
          <w:szCs w:val="44"/>
          <w:lang w:eastAsia="zh-CN"/>
        </w:rPr>
        <w:t>三</w:t>
      </w:r>
      <w:r>
        <w:rPr>
          <w:rFonts w:hint="eastAsia" w:ascii="仿宋_GB2312" w:hAnsi="黑体" w:eastAsia="仿宋_GB2312" w:cs="Times New Roman"/>
          <w:kern w:val="44"/>
          <w:sz w:val="32"/>
          <w:szCs w:val="44"/>
        </w:rPr>
        <w:t>）投标文件的递交</w:t>
      </w:r>
    </w:p>
    <w:p>
      <w:pPr>
        <w:ind w:firstLine="640" w:firstLineChars="200"/>
        <w:rPr>
          <w:rFonts w:hint="eastAsia" w:ascii="仿宋_GB2312" w:hAnsi="黑体" w:eastAsia="仿宋_GB2312" w:cs="Times New Roman"/>
          <w:kern w:val="44"/>
          <w:sz w:val="32"/>
          <w:szCs w:val="44"/>
          <w:u w:val="none"/>
        </w:rPr>
      </w:pPr>
      <w:r>
        <w:rPr>
          <w:rFonts w:hint="eastAsia" w:ascii="仿宋_GB2312" w:hAnsi="黑体" w:eastAsia="仿宋_GB2312" w:cs="Times New Roman"/>
          <w:kern w:val="44"/>
          <w:sz w:val="32"/>
          <w:szCs w:val="44"/>
          <w:u w:val="none"/>
        </w:rPr>
        <w:t>1、递交投标文件的方式和时间</w:t>
      </w:r>
    </w:p>
    <w:p>
      <w:pPr>
        <w:ind w:firstLine="640" w:firstLineChars="200"/>
        <w:rPr>
          <w:rFonts w:hint="eastAsia" w:ascii="仿宋_GB2312" w:hAnsi="黑体" w:eastAsia="仿宋_GB2312" w:cs="Times New Roman"/>
          <w:kern w:val="44"/>
          <w:sz w:val="32"/>
          <w:szCs w:val="44"/>
          <w:u w:val="none"/>
        </w:rPr>
      </w:pPr>
      <w:r>
        <w:rPr>
          <w:rFonts w:hint="eastAsia" w:ascii="仿宋_GB2312" w:hAnsi="黑体" w:eastAsia="仿宋_GB2312" w:cs="Times New Roman"/>
          <w:kern w:val="44"/>
          <w:sz w:val="32"/>
          <w:szCs w:val="44"/>
          <w:u w:val="none"/>
          <w:lang w:val="en-US" w:eastAsia="zh-CN"/>
        </w:rPr>
        <w:t xml:space="preserve">1.1 </w:t>
      </w:r>
      <w:r>
        <w:rPr>
          <w:rFonts w:hint="eastAsia" w:ascii="仿宋_GB2312" w:hAnsi="黑体" w:eastAsia="仿宋_GB2312" w:cs="Times New Roman"/>
          <w:kern w:val="44"/>
          <w:sz w:val="32"/>
          <w:szCs w:val="44"/>
          <w:u w:val="none"/>
        </w:rPr>
        <w:t>方式：</w:t>
      </w:r>
    </w:p>
    <w:p>
      <w:pPr>
        <w:ind w:firstLine="640" w:firstLineChars="200"/>
        <w:rPr>
          <w:rFonts w:hint="eastAsia" w:ascii="仿宋_GB2312" w:hAnsi="黑体" w:eastAsia="仿宋_GB2312" w:cs="Times New Roman"/>
          <w:kern w:val="44"/>
          <w:sz w:val="32"/>
          <w:szCs w:val="44"/>
          <w:u w:val="none"/>
          <w:lang w:eastAsia="zh-CN"/>
        </w:rPr>
      </w:pPr>
      <w:r>
        <w:rPr>
          <w:rFonts w:hint="eastAsia" w:ascii="仿宋_GB2312" w:hAnsi="黑体" w:eastAsia="仿宋_GB2312" w:cs="Times New Roman"/>
          <w:kern w:val="44"/>
          <w:sz w:val="32"/>
          <w:szCs w:val="44"/>
          <w:u w:val="none"/>
        </w:rPr>
        <w:t>线上</w:t>
      </w:r>
      <w:r>
        <w:rPr>
          <w:rFonts w:hint="eastAsia" w:ascii="仿宋_GB2312" w:hAnsi="黑体" w:eastAsia="仿宋_GB2312" w:cs="Times New Roman"/>
          <w:kern w:val="44"/>
          <w:sz w:val="32"/>
          <w:szCs w:val="44"/>
          <w:u w:val="none"/>
          <w:lang w:eastAsia="zh-CN"/>
        </w:rPr>
        <w:t>：</w:t>
      </w:r>
      <w:r>
        <w:rPr>
          <w:rFonts w:hint="eastAsia" w:ascii="仿宋_GB2312" w:hAnsi="黑体" w:eastAsia="仿宋_GB2312" w:cs="Times New Roman"/>
          <w:kern w:val="44"/>
          <w:sz w:val="32"/>
          <w:szCs w:val="44"/>
          <w:u w:val="none"/>
        </w:rPr>
        <w:t>登录隆道云平台报价</w:t>
      </w:r>
      <w:r>
        <w:rPr>
          <w:rFonts w:hint="eastAsia" w:ascii="仿宋_GB2312" w:hAnsi="黑体" w:eastAsia="仿宋_GB2312" w:cs="Times New Roman"/>
          <w:kern w:val="44"/>
          <w:sz w:val="32"/>
          <w:szCs w:val="44"/>
          <w:u w:val="none"/>
          <w:lang w:eastAsia="zh-CN"/>
        </w:rPr>
        <w:t>，或登录山东岱岳制盐有限公司官网（</w:t>
      </w:r>
      <w:r>
        <w:rPr>
          <w:rFonts w:hint="eastAsia" w:ascii="仿宋_GB2312" w:hAnsi="黑体" w:eastAsia="仿宋_GB2312" w:cs="Times New Roman"/>
          <w:kern w:val="44"/>
          <w:sz w:val="32"/>
          <w:szCs w:val="44"/>
          <w:u w:val="none"/>
          <w:lang w:val="en-US" w:eastAsia="zh-CN"/>
        </w:rPr>
        <w:t>www.sddyzy.com</w:t>
      </w:r>
      <w:r>
        <w:rPr>
          <w:rFonts w:hint="eastAsia" w:ascii="仿宋_GB2312" w:hAnsi="黑体" w:eastAsia="仿宋_GB2312" w:cs="Times New Roman"/>
          <w:kern w:val="44"/>
          <w:sz w:val="32"/>
          <w:szCs w:val="44"/>
          <w:u w:val="none"/>
          <w:lang w:eastAsia="zh-CN"/>
        </w:rPr>
        <w:t>）查看招标公告</w:t>
      </w:r>
      <w:r>
        <w:rPr>
          <w:rFonts w:hint="eastAsia" w:ascii="仿宋_GB2312" w:hAnsi="黑体" w:eastAsia="仿宋_GB2312" w:cs="Times New Roman"/>
          <w:kern w:val="44"/>
          <w:sz w:val="32"/>
          <w:szCs w:val="44"/>
          <w:u w:val="none"/>
        </w:rPr>
        <w:t>；</w:t>
      </w:r>
    </w:p>
    <w:p>
      <w:pPr>
        <w:ind w:firstLine="640" w:firstLineChars="200"/>
        <w:rPr>
          <w:rFonts w:hint="eastAsia" w:ascii="仿宋_GB2312" w:hAnsi="黑体" w:eastAsia="仿宋_GB2312" w:cs="Times New Roman"/>
          <w:kern w:val="44"/>
          <w:sz w:val="32"/>
          <w:szCs w:val="44"/>
          <w:u w:val="none"/>
          <w:lang w:eastAsia="zh-CN"/>
        </w:rPr>
      </w:pPr>
      <w:r>
        <w:rPr>
          <w:rFonts w:hint="eastAsia" w:ascii="仿宋_GB2312" w:hAnsi="黑体" w:eastAsia="仿宋_GB2312" w:cs="Times New Roman"/>
          <w:kern w:val="44"/>
          <w:sz w:val="32"/>
          <w:szCs w:val="44"/>
          <w:u w:val="none"/>
          <w:lang w:eastAsia="zh-CN"/>
        </w:rPr>
        <w:t>线下：报专用邮箱：</w:t>
      </w:r>
      <w:r>
        <w:rPr>
          <w:rFonts w:hint="eastAsia" w:ascii="仿宋_GB2312" w:hAnsi="黑体" w:eastAsia="仿宋_GB2312" w:cs="Times New Roman"/>
          <w:kern w:val="44"/>
          <w:sz w:val="32"/>
          <w:szCs w:val="44"/>
          <w:u w:val="none"/>
          <w:lang w:eastAsia="zh-CN"/>
        </w:rPr>
        <w:fldChar w:fldCharType="begin"/>
      </w:r>
      <w:r>
        <w:rPr>
          <w:rFonts w:hint="eastAsia" w:ascii="仿宋_GB2312" w:hAnsi="黑体" w:eastAsia="仿宋_GB2312" w:cs="Times New Roman"/>
          <w:kern w:val="44"/>
          <w:sz w:val="32"/>
          <w:szCs w:val="44"/>
          <w:u w:val="none"/>
          <w:lang w:eastAsia="zh-CN"/>
        </w:rPr>
        <w:instrText xml:space="preserve"> HYPERLINK "mailto:dyzy009@163.com" </w:instrText>
      </w:r>
      <w:r>
        <w:rPr>
          <w:rFonts w:hint="eastAsia" w:ascii="仿宋_GB2312" w:hAnsi="黑体" w:eastAsia="仿宋_GB2312" w:cs="Times New Roman"/>
          <w:kern w:val="44"/>
          <w:sz w:val="32"/>
          <w:szCs w:val="44"/>
          <w:u w:val="none"/>
          <w:lang w:eastAsia="zh-CN"/>
        </w:rPr>
        <w:fldChar w:fldCharType="separate"/>
      </w:r>
      <w:r>
        <w:rPr>
          <w:rFonts w:hint="eastAsia" w:ascii="仿宋_GB2312" w:hAnsi="黑体" w:eastAsia="仿宋_GB2312" w:cs="Times New Roman"/>
          <w:kern w:val="44"/>
          <w:sz w:val="32"/>
          <w:szCs w:val="44"/>
          <w:u w:val="none"/>
          <w:lang w:eastAsia="zh-CN"/>
        </w:rPr>
        <w:t>dyzy009@163.com</w:t>
      </w:r>
      <w:r>
        <w:rPr>
          <w:rFonts w:hint="eastAsia" w:ascii="仿宋_GB2312" w:hAnsi="黑体" w:eastAsia="仿宋_GB2312" w:cs="Times New Roman"/>
          <w:kern w:val="44"/>
          <w:sz w:val="32"/>
          <w:szCs w:val="44"/>
          <w:u w:val="none"/>
          <w:lang w:eastAsia="zh-CN"/>
        </w:rPr>
        <w:fldChar w:fldCharType="end"/>
      </w:r>
      <w:r>
        <w:rPr>
          <w:rFonts w:hint="eastAsia" w:ascii="仿宋_GB2312" w:hAnsi="黑体" w:eastAsia="仿宋_GB2312" w:cs="Times New Roman"/>
          <w:kern w:val="44"/>
          <w:sz w:val="32"/>
          <w:szCs w:val="44"/>
          <w:u w:val="none"/>
          <w:lang w:eastAsia="zh-CN"/>
        </w:rPr>
        <w:t>；</w:t>
      </w:r>
    </w:p>
    <w:p>
      <w:pPr>
        <w:ind w:firstLine="640" w:firstLineChars="200"/>
        <w:rPr>
          <w:rFonts w:hint="eastAsia" w:ascii="仿宋_GB2312" w:hAnsi="黑体" w:eastAsia="仿宋_GB2312" w:cs="Times New Roman"/>
          <w:color w:val="auto"/>
          <w:kern w:val="44"/>
          <w:sz w:val="32"/>
          <w:szCs w:val="44"/>
          <w:u w:val="none"/>
        </w:rPr>
      </w:pPr>
      <w:r>
        <w:rPr>
          <w:rFonts w:hint="eastAsia" w:ascii="仿宋_GB2312" w:hAnsi="黑体" w:eastAsia="仿宋_GB2312" w:cs="Times New Roman"/>
          <w:kern w:val="44"/>
          <w:sz w:val="32"/>
          <w:szCs w:val="44"/>
          <w:u w:val="none"/>
          <w:lang w:val="en-US" w:eastAsia="zh-CN"/>
        </w:rPr>
        <w:t xml:space="preserve">1.2 </w:t>
      </w:r>
      <w:r>
        <w:rPr>
          <w:rFonts w:hint="eastAsia" w:ascii="仿宋_GB2312" w:hAnsi="黑体" w:eastAsia="仿宋_GB2312" w:cs="Times New Roman"/>
          <w:kern w:val="44"/>
          <w:sz w:val="32"/>
          <w:szCs w:val="44"/>
          <w:u w:val="none"/>
        </w:rPr>
        <w:t>投标截止时间：</w:t>
      </w:r>
      <w:r>
        <w:rPr>
          <w:rFonts w:hint="eastAsia" w:ascii="仿宋_GB2312" w:hAnsi="黑体" w:eastAsia="仿宋_GB2312" w:cs="Times New Roman"/>
          <w:kern w:val="44"/>
          <w:sz w:val="32"/>
          <w:szCs w:val="44"/>
          <w:u w:val="none"/>
          <w:lang w:val="en-US" w:eastAsia="zh-CN"/>
        </w:rPr>
        <w:t>截止时间</w:t>
      </w:r>
      <w:r>
        <w:rPr>
          <w:rFonts w:hint="eastAsia" w:ascii="仿宋_GB2312" w:hAnsi="黑体" w:eastAsia="仿宋_GB2312" w:cs="Times New Roman"/>
          <w:color w:val="auto"/>
          <w:kern w:val="44"/>
          <w:sz w:val="32"/>
          <w:szCs w:val="44"/>
          <w:u w:val="none"/>
        </w:rPr>
        <w:t>2</w:t>
      </w:r>
      <w:r>
        <w:rPr>
          <w:rFonts w:hint="eastAsia" w:ascii="仿宋_GB2312" w:hAnsi="黑体" w:eastAsia="仿宋_GB2312" w:cs="Times New Roman"/>
          <w:color w:val="auto"/>
          <w:kern w:val="44"/>
          <w:sz w:val="32"/>
          <w:szCs w:val="44"/>
          <w:u w:val="none"/>
          <w:lang w:val="en-US" w:eastAsia="zh-CN"/>
        </w:rPr>
        <w:t>023年6月26日24时00分。</w:t>
      </w:r>
    </w:p>
    <w:p>
      <w:pPr>
        <w:pStyle w:val="2"/>
        <w:ind w:firstLine="640" w:firstLineChars="200"/>
        <w:rPr>
          <w:rFonts w:hint="eastAsia" w:ascii="仿宋_GB2312" w:hAnsi="黑体" w:eastAsia="仿宋_GB2312" w:cs="Times New Roman"/>
          <w:color w:val="FF0000"/>
          <w:kern w:val="44"/>
          <w:sz w:val="32"/>
          <w:szCs w:val="44"/>
          <w:u w:val="none"/>
        </w:rPr>
      </w:pPr>
      <w:r>
        <w:rPr>
          <w:rFonts w:hint="eastAsia" w:ascii="仿宋_GB2312" w:hAnsi="黑体" w:eastAsia="仿宋_GB2312" w:cs="Times New Roman"/>
          <w:kern w:val="44"/>
          <w:sz w:val="32"/>
          <w:szCs w:val="44"/>
          <w:u w:val="none"/>
          <w:lang w:val="en-US" w:eastAsia="zh-CN"/>
        </w:rPr>
        <w:t xml:space="preserve">1.3 </w:t>
      </w:r>
      <w:r>
        <w:rPr>
          <w:rFonts w:hint="eastAsia" w:ascii="仿宋_GB2312" w:hAnsi="黑体" w:eastAsia="仿宋_GB2312" w:cs="Times New Roman"/>
          <w:color w:val="FF0000"/>
          <w:kern w:val="44"/>
          <w:sz w:val="32"/>
          <w:szCs w:val="44"/>
          <w:u w:val="none"/>
        </w:rPr>
        <w:t>供应商代表必须在投标截止时间前将投标文件上传</w:t>
      </w:r>
      <w:r>
        <w:rPr>
          <w:rFonts w:hint="eastAsia" w:ascii="仿宋_GB2312" w:hAnsi="黑体" w:eastAsia="仿宋_GB2312" w:cs="Times New Roman"/>
          <w:color w:val="FF0000"/>
          <w:kern w:val="44"/>
          <w:sz w:val="32"/>
          <w:szCs w:val="44"/>
          <w:u w:val="none"/>
          <w:lang w:eastAsia="zh-CN"/>
        </w:rPr>
        <w:t>并邮寄至少</w:t>
      </w:r>
      <w:r>
        <w:rPr>
          <w:rFonts w:hint="eastAsia" w:ascii="仿宋_GB2312" w:hAnsi="黑体" w:eastAsia="仿宋_GB2312" w:cs="Times New Roman"/>
          <w:color w:val="FF0000"/>
          <w:kern w:val="44"/>
          <w:sz w:val="32"/>
          <w:szCs w:val="44"/>
          <w:u w:val="none"/>
          <w:lang w:val="en-US" w:eastAsia="zh-CN"/>
        </w:rPr>
        <w:t>3份投标文件（加盖公章并密封）至采购人，邮寄地址：</w:t>
      </w:r>
      <w:r>
        <w:rPr>
          <w:rFonts w:hint="eastAsia" w:ascii="仿宋_GB2312" w:hAnsi="宋体" w:eastAsia="仿宋_GB2312" w:cs="Times New Roman"/>
          <w:color w:val="FF0000"/>
          <w:sz w:val="32"/>
          <w:szCs w:val="32"/>
          <w:u w:val="none"/>
          <w:lang w:val="en-US" w:eastAsia="zh-CN"/>
        </w:rPr>
        <w:t>山东省泰安市岱岳区大汶口石膏工业园区山东岱岳制盐有限公司新厂，生产管理部；收件人：张毅，13705382602。</w:t>
      </w:r>
    </w:p>
    <w:p>
      <w:pPr>
        <w:ind w:firstLine="640" w:firstLineChars="200"/>
        <w:rPr>
          <w:rFonts w:hint="eastAsia" w:ascii="仿宋_GB2312" w:hAnsi="黑体" w:eastAsia="仿宋_GB2312" w:cs="Times New Roman"/>
          <w:color w:val="auto"/>
          <w:kern w:val="44"/>
          <w:sz w:val="32"/>
          <w:szCs w:val="44"/>
          <w:u w:val="none"/>
        </w:rPr>
      </w:pPr>
      <w:r>
        <w:rPr>
          <w:rFonts w:hint="eastAsia" w:ascii="仿宋_GB2312" w:hAnsi="黑体" w:eastAsia="仿宋_GB2312" w:cs="Times New Roman"/>
          <w:color w:val="auto"/>
          <w:kern w:val="44"/>
          <w:sz w:val="32"/>
          <w:szCs w:val="44"/>
          <w:u w:val="none"/>
          <w:lang w:val="en-US" w:eastAsia="zh-CN"/>
        </w:rPr>
        <w:t xml:space="preserve">1.4 </w:t>
      </w:r>
      <w:r>
        <w:rPr>
          <w:rFonts w:hint="eastAsia" w:ascii="仿宋_GB2312" w:hAnsi="黑体" w:eastAsia="仿宋_GB2312" w:cs="Times New Roman"/>
          <w:color w:val="auto"/>
          <w:kern w:val="44"/>
          <w:sz w:val="32"/>
          <w:szCs w:val="44"/>
          <w:u w:val="none"/>
        </w:rPr>
        <w:t>电报、电话、</w:t>
      </w:r>
      <w:r>
        <w:rPr>
          <w:rFonts w:hint="eastAsia" w:ascii="仿宋_GB2312" w:hAnsi="黑体" w:eastAsia="仿宋_GB2312" w:cs="Times New Roman"/>
          <w:color w:val="auto"/>
          <w:kern w:val="44"/>
          <w:sz w:val="32"/>
          <w:szCs w:val="44"/>
          <w:u w:val="none"/>
          <w:lang w:eastAsia="zh-CN"/>
        </w:rPr>
        <w:t>口头报价</w:t>
      </w:r>
      <w:r>
        <w:rPr>
          <w:rFonts w:hint="eastAsia" w:ascii="仿宋_GB2312" w:hAnsi="黑体" w:eastAsia="仿宋_GB2312" w:cs="Times New Roman"/>
          <w:color w:val="auto"/>
          <w:kern w:val="44"/>
          <w:sz w:val="32"/>
          <w:szCs w:val="44"/>
          <w:u w:val="none"/>
        </w:rPr>
        <w:t>等形式的投标概不接受。</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w:t>
      </w:r>
      <w:r>
        <w:rPr>
          <w:rFonts w:hint="eastAsia" w:ascii="仿宋_GB2312" w:hAnsi="黑体" w:eastAsia="仿宋_GB2312" w:cs="Times New Roman"/>
          <w:kern w:val="44"/>
          <w:sz w:val="32"/>
          <w:szCs w:val="44"/>
          <w:lang w:eastAsia="zh-CN"/>
        </w:rPr>
        <w:t>四</w:t>
      </w:r>
      <w:r>
        <w:rPr>
          <w:rFonts w:hint="eastAsia" w:ascii="仿宋_GB2312" w:hAnsi="黑体" w:eastAsia="仿宋_GB2312" w:cs="Times New Roman"/>
          <w:kern w:val="44"/>
          <w:sz w:val="32"/>
          <w:szCs w:val="44"/>
        </w:rPr>
        <w:t>）迟交的投标文件</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u w:val="none"/>
        </w:rPr>
        <w:t>采购人将拒绝接收在投标截止时间后送达的投标文件。</w:t>
      </w:r>
    </w:p>
    <w:p>
      <w:pPr>
        <w:ind w:firstLine="640" w:firstLineChars="200"/>
        <w:rPr>
          <w:rFonts w:ascii="黑体" w:hAnsi="黑体" w:eastAsia="黑体" w:cs="Times New Roman"/>
          <w:kern w:val="44"/>
          <w:sz w:val="32"/>
          <w:szCs w:val="44"/>
        </w:rPr>
      </w:pPr>
      <w:r>
        <w:rPr>
          <w:rFonts w:hint="eastAsia" w:ascii="黑体" w:hAnsi="黑体" w:eastAsia="黑体" w:cs="Times New Roman"/>
          <w:kern w:val="44"/>
          <w:sz w:val="32"/>
          <w:szCs w:val="44"/>
        </w:rPr>
        <w:t>六、无效投标</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（一）供应商有下列情况之一，其投标视为无效投标。</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1、不具备招标文件中规定的资格要求的；</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2、投标文件含有采购人不能接受的附加条件的；</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3、投标有效期不满足招标文件要求；</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4、供应商所报服务不能满足招标文件要求的；</w:t>
      </w:r>
      <w:r>
        <w:rPr>
          <w:rFonts w:hint="eastAsia" w:ascii="仿宋_GB2312" w:hAnsi="黑体" w:eastAsia="仿宋_GB2312" w:cs="Times New Roman"/>
          <w:kern w:val="44"/>
          <w:sz w:val="32"/>
          <w:szCs w:val="44"/>
        </w:rPr>
        <w:tab/>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5、供应商存在弄虚作假的行为；</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6、属于采购人与供应商、供应商之间相互串通投标情形；</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7、对采购人、采购代理机构、评标委员会及其他工作人员施加影响，有碍公平、公正；</w:t>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8、招标文件规定的其他投标无效情形；</w:t>
      </w:r>
      <w:r>
        <w:rPr>
          <w:rFonts w:hint="eastAsia" w:ascii="仿宋_GB2312" w:hAnsi="黑体" w:eastAsia="仿宋_GB2312" w:cs="Times New Roman"/>
          <w:kern w:val="44"/>
          <w:sz w:val="32"/>
          <w:szCs w:val="44"/>
        </w:rPr>
        <w:tab/>
      </w:r>
    </w:p>
    <w:p>
      <w:pPr>
        <w:ind w:firstLine="640" w:firstLineChars="200"/>
        <w:rPr>
          <w:rFonts w:ascii="仿宋_GB2312" w:hAnsi="黑体" w:eastAsia="仿宋_GB2312" w:cs="Times New Roman"/>
          <w:kern w:val="44"/>
          <w:sz w:val="32"/>
          <w:szCs w:val="44"/>
        </w:rPr>
      </w:pPr>
      <w:r>
        <w:rPr>
          <w:rFonts w:hint="eastAsia" w:ascii="仿宋_GB2312" w:hAnsi="黑体" w:eastAsia="仿宋_GB2312" w:cs="Times New Roman"/>
          <w:kern w:val="44"/>
          <w:sz w:val="32"/>
          <w:szCs w:val="44"/>
        </w:rPr>
        <w:t>9、法律、法规、规章规定属于投标无效的其他。</w:t>
      </w:r>
    </w:p>
    <w:p>
      <w:pPr>
        <w:jc w:val="center"/>
        <w:rPr>
          <w:rFonts w:ascii="方正小标宋简体" w:hAnsi="黑体" w:eastAsia="方正小标宋简体" w:cs="Times New Roman"/>
          <w:kern w:val="44"/>
          <w:sz w:val="44"/>
          <w:szCs w:val="44"/>
        </w:rPr>
      </w:pPr>
      <w:r>
        <w:rPr>
          <w:rFonts w:ascii="Times New Roman" w:hAnsi="Times New Roman" w:eastAsia="宋体" w:cs="Times New Roman"/>
          <w:szCs w:val="24"/>
        </w:rPr>
        <w:br w:type="page"/>
      </w:r>
      <w:bookmarkStart w:id="4" w:name="_Toc152042364"/>
      <w:bookmarkStart w:id="5" w:name="_Toc152045587"/>
      <w:bookmarkStart w:id="6" w:name="_Toc144974554"/>
      <w:bookmarkStart w:id="7" w:name="_Toc179632605"/>
      <w:r>
        <w:rPr>
          <w:rFonts w:hint="eastAsia" w:ascii="方正小标宋简体" w:hAnsi="黑体" w:eastAsia="方正小标宋简体" w:cs="Times New Roman"/>
          <w:kern w:val="44"/>
          <w:sz w:val="44"/>
          <w:szCs w:val="44"/>
        </w:rPr>
        <w:t>第三章 评标办法</w:t>
      </w:r>
      <w:bookmarkEnd w:id="4"/>
      <w:bookmarkEnd w:id="5"/>
      <w:bookmarkEnd w:id="6"/>
      <w:bookmarkEnd w:id="7"/>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一、评标委员会</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按照相关规定由五人及以上单数组成评标委员会，评标委员会负责对投标文件进行审查、质疑、评审，确定中标候选人。</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二、资格审查及投标文件的响应性审查</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（一）本项目资格审查方式为资格后审。</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（二）评标委员会将组织审查投标文件是否完整；是否按规定报价；报价是否有错误；投标文件是否已按招标文件的要求签署。</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（三）评标委员会经审查供应商提供的投标文件，如果确定供应商无资格或无能力履行合同，其投标将被拒绝。</w:t>
      </w:r>
    </w:p>
    <w:p>
      <w:pPr>
        <w:ind w:firstLine="636" w:firstLineChars="200"/>
        <w:rPr>
          <w:rFonts w:ascii="仿宋_GB2312" w:hAnsi="Times New Roman" w:eastAsia="仿宋_GB2312" w:cs="Times New Roman"/>
          <w:sz w:val="32"/>
          <w:szCs w:val="32"/>
        </w:rPr>
      </w:pPr>
      <w:r>
        <w:rPr>
          <w:rFonts w:hint="eastAsia" w:ascii="仿宋_GB2312" w:hAnsi="Times New Roman" w:eastAsia="仿宋_GB2312" w:cs="Times New Roman"/>
          <w:spacing w:val="-1"/>
          <w:sz w:val="32"/>
          <w:szCs w:val="32"/>
        </w:rPr>
        <w:t>（四）</w:t>
      </w:r>
      <w:r>
        <w:rPr>
          <w:rFonts w:hint="eastAsia" w:ascii="仿宋_GB2312" w:hAnsi="Times New Roman" w:eastAsia="仿宋_GB2312" w:cs="Times New Roman"/>
          <w:spacing w:val="-6"/>
          <w:sz w:val="32"/>
          <w:szCs w:val="32"/>
        </w:rPr>
        <w:t>评标委员会将确定每一供应商是否对招标文件的要求做出了实质性的响</w:t>
      </w:r>
      <w:r>
        <w:rPr>
          <w:rFonts w:hint="eastAsia" w:ascii="仿宋_GB2312" w:hAnsi="Times New Roman" w:eastAsia="仿宋_GB2312" w:cs="Times New Roman"/>
          <w:spacing w:val="-4"/>
          <w:sz w:val="32"/>
          <w:szCs w:val="32"/>
        </w:rPr>
        <w:t>应而没有重大偏离。实质性响应的投标是指投标符合招标文件的所有条款、条</w:t>
      </w:r>
      <w:r>
        <w:rPr>
          <w:rFonts w:hint="eastAsia" w:ascii="仿宋_GB2312" w:hAnsi="Times New Roman" w:eastAsia="仿宋_GB2312" w:cs="Times New Roman"/>
          <w:spacing w:val="-3"/>
          <w:sz w:val="32"/>
          <w:szCs w:val="32"/>
        </w:rPr>
        <w:t>件和规定且没有重大偏离或保留。评标委员会判断投标文件的响应性仅基于投标文件本身而不靠外部证据。</w:t>
      </w:r>
    </w:p>
    <w:p>
      <w:pPr>
        <w:ind w:firstLine="640" w:firstLineChars="200"/>
        <w:rPr>
          <w:rFonts w:ascii="黑体" w:hAnsi="黑体" w:eastAsia="黑体" w:cs="Times New Roman"/>
          <w:sz w:val="32"/>
          <w:szCs w:val="32"/>
        </w:rPr>
      </w:pPr>
      <w:r>
        <w:rPr>
          <w:rFonts w:hint="eastAsia" w:ascii="仿宋_GB2312" w:hAnsi="Times New Roman" w:eastAsia="仿宋_GB2312" w:cs="Times New Roman"/>
          <w:sz w:val="32"/>
          <w:szCs w:val="32"/>
        </w:rPr>
        <w:t>（五）评标委员会将拒绝被确定为非实质性响应的投标文件，供应商不能通过修正或撤销投标文件中的不符之处而使其投标成为实质性响应的投标。</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三、评标原则</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“公平、公正、竞争、择优”为本次评标的基本原则，评标委员会将按照</w:t>
      </w:r>
      <w:r>
        <w:rPr>
          <w:rFonts w:hint="eastAsia" w:ascii="仿宋_GB2312" w:hAnsi="Times New Roman" w:eastAsia="仿宋_GB2312" w:cs="Times New Roman"/>
          <w:spacing w:val="-7"/>
          <w:sz w:val="32"/>
          <w:szCs w:val="32"/>
        </w:rPr>
        <w:t>这一原则的要求，公正、平等地对待各供应商。同时，在评标时恪守以下原则：</w:t>
      </w:r>
    </w:p>
    <w:p>
      <w:pPr>
        <w:ind w:firstLine="636" w:firstLineChars="200"/>
        <w:rPr>
          <w:rFonts w:ascii="仿宋_GB2312" w:hAnsi="Times New Roman" w:eastAsia="仿宋_GB2312" w:cs="Times New Roman"/>
          <w:sz w:val="32"/>
          <w:szCs w:val="32"/>
        </w:rPr>
      </w:pPr>
      <w:r>
        <w:rPr>
          <w:rFonts w:hint="eastAsia" w:ascii="仿宋_GB2312" w:hAnsi="Times New Roman" w:eastAsia="仿宋_GB2312" w:cs="Times New Roman"/>
          <w:spacing w:val="-1"/>
          <w:sz w:val="32"/>
          <w:szCs w:val="32"/>
        </w:rPr>
        <w:t>（一）</w:t>
      </w:r>
      <w:r>
        <w:rPr>
          <w:rFonts w:hint="eastAsia" w:ascii="仿宋_GB2312" w:hAnsi="Times New Roman" w:eastAsia="仿宋_GB2312" w:cs="Times New Roman"/>
          <w:spacing w:val="-6"/>
          <w:sz w:val="32"/>
          <w:szCs w:val="32"/>
        </w:rPr>
        <w:t>客观性原则：评标委员会将严格按照招标文件的要求，对供应商的投标</w:t>
      </w:r>
      <w:r>
        <w:rPr>
          <w:rFonts w:hint="eastAsia" w:ascii="仿宋_GB2312" w:hAnsi="Times New Roman" w:eastAsia="仿宋_GB2312" w:cs="Times New Roman"/>
          <w:spacing w:val="-4"/>
          <w:sz w:val="32"/>
          <w:szCs w:val="32"/>
        </w:rPr>
        <w:t>文件进行认真评审；评标委员会对投标文件的评审仅依据投标文件本身，而不</w:t>
      </w:r>
      <w:r>
        <w:rPr>
          <w:rFonts w:hint="eastAsia" w:ascii="仿宋_GB2312" w:hAnsi="Times New Roman" w:eastAsia="仿宋_GB2312" w:cs="Times New Roman"/>
          <w:spacing w:val="-3"/>
          <w:sz w:val="32"/>
          <w:szCs w:val="32"/>
        </w:rPr>
        <w:t>依靠投标文件以外的任何因素。</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（二）统一性原则：评标委员会将按照统一的评标原则和评标方法，用同一标准进行评标。</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（三）独立性原则：评标工作在评标委员会内部独立进行，不受外界任何因素的干扰和影响。评委对出具的评标意见承担个人责任。</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（四）保密性原则：评委及熟知情况的有关工作人员必须对供应商的商业秘密严格保密。</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（五）综合性原则：评标委员会将综合分析、评审供应商的各项指标，而不以单项指标的优劣评定出中标人。</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四、定标原则和评标方法</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（一）按能够最大限度的满足招标文件，采用综合评估法，以综合得分最高分中标的原则定标。</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（二）采用综合评分法来确定中标人，最低报价不作为中标的唯一依据。</w:t>
      </w:r>
    </w:p>
    <w:p>
      <w:pPr>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eastAsia="zh-CN"/>
        </w:rPr>
        <w:t>三</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评标程序：</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1</w:t>
      </w:r>
      <w:r>
        <w:rPr>
          <w:rFonts w:hint="eastAsia" w:ascii="仿宋_GB2312" w:hAnsi="Times New Roman" w:eastAsia="仿宋_GB2312" w:cs="Times New Roman"/>
          <w:sz w:val="32"/>
          <w:szCs w:val="32"/>
          <w:lang w:val="en-US" w:eastAsia="zh-CN"/>
        </w:rPr>
        <w:t>、</w:t>
      </w:r>
      <w:r>
        <w:rPr>
          <w:rFonts w:hint="eastAsia" w:ascii="仿宋_GB2312" w:hAnsi="Times New Roman" w:eastAsia="仿宋_GB2312" w:cs="Times New Roman"/>
          <w:sz w:val="32"/>
          <w:szCs w:val="32"/>
        </w:rPr>
        <w:t>初步评审</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依据招标文件的规定，从投标文件的有效性、完整性和响应程度进行审查，以确定是否对招标文件的要求做出了实质性的响应。</w:t>
      </w:r>
    </w:p>
    <w:p>
      <w:pPr>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rPr>
        <w:t>综合评</w:t>
      </w:r>
      <w:r>
        <w:rPr>
          <w:rFonts w:hint="eastAsia" w:ascii="仿宋_GB2312" w:hAnsi="Times New Roman" w:eastAsia="仿宋_GB2312" w:cs="Times New Roman"/>
          <w:sz w:val="32"/>
          <w:szCs w:val="32"/>
          <w:lang w:eastAsia="zh-CN"/>
        </w:rPr>
        <w:t>标</w:t>
      </w:r>
    </w:p>
    <w:p>
      <w:pPr>
        <w:ind w:firstLine="640" w:firstLineChars="200"/>
        <w:rPr>
          <w:rFonts w:hint="eastAsia" w:ascii="仿宋_GB2312" w:hAnsi="Times New Roman" w:eastAsia="仿宋_GB2312" w:cs="Times New Roman"/>
          <w:sz w:val="32"/>
          <w:szCs w:val="32"/>
        </w:rPr>
      </w:pPr>
      <w:r>
        <w:rPr>
          <w:rFonts w:hint="eastAsia" w:ascii="仿宋_GB2312" w:hAnsi="黑体" w:eastAsia="仿宋_GB2312" w:cs="Times New Roman"/>
          <w:kern w:val="44"/>
          <w:sz w:val="32"/>
          <w:szCs w:val="44"/>
          <w:u w:val="none"/>
          <w:lang w:val="zh-CN" w:eastAsia="zh-CN"/>
        </w:rPr>
        <w:t>评标委员会将根据各自提供的施工方案及安全施工方案进行评比打分并评选出最佳方案，</w:t>
      </w:r>
      <w:r>
        <w:rPr>
          <w:rFonts w:hint="eastAsia" w:ascii="仿宋_GB2312" w:hAnsi="Times New Roman" w:eastAsia="仿宋_GB2312" w:cs="Times New Roman"/>
          <w:sz w:val="32"/>
          <w:szCs w:val="32"/>
          <w:lang w:eastAsia="zh-CN"/>
        </w:rPr>
        <w:t>然后</w:t>
      </w:r>
      <w:r>
        <w:rPr>
          <w:rFonts w:hint="eastAsia" w:ascii="仿宋_GB2312" w:hAnsi="Times New Roman" w:eastAsia="仿宋_GB2312" w:cs="Times New Roman"/>
          <w:sz w:val="32"/>
          <w:szCs w:val="32"/>
        </w:rPr>
        <w:t>根据综合评分情况，按照评</w:t>
      </w:r>
      <w:r>
        <w:rPr>
          <w:rFonts w:hint="eastAsia" w:ascii="仿宋_GB2312" w:hAnsi="Times New Roman" w:eastAsia="仿宋_GB2312" w:cs="Times New Roman"/>
          <w:sz w:val="32"/>
          <w:szCs w:val="32"/>
          <w:lang w:eastAsia="zh-CN"/>
        </w:rPr>
        <w:t>标</w:t>
      </w:r>
      <w:r>
        <w:rPr>
          <w:rFonts w:hint="eastAsia" w:ascii="仿宋_GB2312" w:hAnsi="Times New Roman" w:eastAsia="仿宋_GB2312" w:cs="Times New Roman"/>
          <w:sz w:val="32"/>
          <w:szCs w:val="32"/>
        </w:rPr>
        <w:t>得分由高到低顺序确定中标人，评</w:t>
      </w:r>
      <w:r>
        <w:rPr>
          <w:rFonts w:hint="eastAsia" w:ascii="仿宋_GB2312" w:hAnsi="Times New Roman" w:eastAsia="仿宋_GB2312" w:cs="Times New Roman"/>
          <w:sz w:val="32"/>
          <w:szCs w:val="32"/>
          <w:lang w:eastAsia="zh-CN"/>
        </w:rPr>
        <w:t>标</w:t>
      </w:r>
      <w:r>
        <w:rPr>
          <w:rFonts w:hint="eastAsia" w:ascii="仿宋_GB2312" w:hAnsi="Times New Roman" w:eastAsia="仿宋_GB2312" w:cs="Times New Roman"/>
          <w:sz w:val="32"/>
          <w:szCs w:val="32"/>
        </w:rPr>
        <w:t>得分相同的，按照报价由低到高的顺序确定中标人，评</w:t>
      </w:r>
      <w:r>
        <w:rPr>
          <w:rFonts w:hint="eastAsia" w:ascii="仿宋_GB2312" w:hAnsi="Times New Roman" w:eastAsia="仿宋_GB2312" w:cs="Times New Roman"/>
          <w:sz w:val="32"/>
          <w:szCs w:val="32"/>
          <w:lang w:eastAsia="zh-CN"/>
        </w:rPr>
        <w:t>标</w:t>
      </w:r>
      <w:r>
        <w:rPr>
          <w:rFonts w:hint="eastAsia" w:ascii="仿宋_GB2312" w:hAnsi="Times New Roman" w:eastAsia="仿宋_GB2312" w:cs="Times New Roman"/>
          <w:sz w:val="32"/>
          <w:szCs w:val="32"/>
        </w:rPr>
        <w:t>得分相同且最后报价相同的，按照技术指标优劣顺序确定中标人。</w:t>
      </w:r>
    </w:p>
    <w:p>
      <w:pPr>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3、评标因素及分值：</w:t>
      </w:r>
    </w:p>
    <w:tbl>
      <w:tblPr>
        <w:tblStyle w:val="10"/>
        <w:tblpPr w:leftFromText="180" w:rightFromText="180" w:vertAnchor="text" w:horzAnchor="page" w:tblpX="2124" w:tblpY="251"/>
        <w:tblOverlap w:val="never"/>
        <w:tblW w:w="0" w:type="auto"/>
        <w:tblInd w:w="0" w:type="dxa"/>
        <w:tblLayout w:type="fixed"/>
        <w:tblCellMar>
          <w:top w:w="0" w:type="dxa"/>
          <w:left w:w="10" w:type="dxa"/>
          <w:bottom w:w="0" w:type="dxa"/>
          <w:right w:w="10" w:type="dxa"/>
        </w:tblCellMar>
      </w:tblPr>
      <w:tblGrid>
        <w:gridCol w:w="1313"/>
        <w:gridCol w:w="1640"/>
        <w:gridCol w:w="1640"/>
        <w:gridCol w:w="1644"/>
        <w:gridCol w:w="1151"/>
      </w:tblGrid>
      <w:tr>
        <w:tblPrEx>
          <w:tblCellMar>
            <w:top w:w="0" w:type="dxa"/>
            <w:left w:w="10" w:type="dxa"/>
            <w:bottom w:w="0" w:type="dxa"/>
            <w:right w:w="10" w:type="dxa"/>
          </w:tblCellMar>
        </w:tblPrEx>
        <w:trPr>
          <w:trHeight w:val="459" w:hRule="atLeast"/>
        </w:trPr>
        <w:tc>
          <w:tcPr>
            <w:tcW w:w="1313" w:type="dxa"/>
            <w:tcBorders>
              <w:top w:val="single" w:color="auto" w:sz="6" w:space="0"/>
              <w:left w:val="single" w:color="auto" w:sz="6" w:space="0"/>
              <w:bottom w:val="single" w:color="auto" w:sz="6" w:space="0"/>
              <w:right w:val="single" w:color="auto" w:sz="6" w:space="0"/>
            </w:tcBorders>
            <w:noWrap w:val="0"/>
            <w:vAlign w:val="center"/>
          </w:tcPr>
          <w:p>
            <w:pPr>
              <w:tabs>
                <w:tab w:val="left" w:pos="6480"/>
              </w:tabs>
              <w:wordWrap w:val="0"/>
              <w:autoSpaceDE w:val="0"/>
              <w:autoSpaceDN w:val="0"/>
              <w:snapToGrid w:val="0"/>
              <w:ind w:left="1054" w:right="-318" w:hanging="1228"/>
              <w:jc w:val="center"/>
              <w:rPr>
                <w:rFonts w:ascii="仿宋_GB2312" w:hAnsi="仿宋" w:eastAsia="仿宋_GB2312"/>
                <w:b/>
                <w:color w:val="000000"/>
                <w:sz w:val="24"/>
                <w:szCs w:val="24"/>
                <w:lang w:val="zh-CN"/>
              </w:rPr>
            </w:pPr>
            <w:r>
              <w:rPr>
                <w:rFonts w:ascii="仿宋_GB2312" w:hAnsi="仿宋" w:eastAsia="仿宋_GB2312"/>
                <w:b/>
                <w:color w:val="000000"/>
                <w:sz w:val="24"/>
                <w:szCs w:val="24"/>
                <w:lang w:val="zh-CN"/>
              </w:rPr>
              <w:t>评分因素</w:t>
            </w:r>
          </w:p>
        </w:tc>
        <w:tc>
          <w:tcPr>
            <w:tcW w:w="1640" w:type="dxa"/>
            <w:tcBorders>
              <w:top w:val="single" w:color="auto" w:sz="6" w:space="0"/>
              <w:left w:val="single" w:color="auto" w:sz="6" w:space="0"/>
              <w:bottom w:val="single" w:color="auto" w:sz="6" w:space="0"/>
              <w:right w:val="single" w:color="auto" w:sz="6" w:space="0"/>
            </w:tcBorders>
            <w:noWrap w:val="0"/>
            <w:vAlign w:val="center"/>
          </w:tcPr>
          <w:p>
            <w:pPr>
              <w:tabs>
                <w:tab w:val="left" w:pos="6480"/>
              </w:tabs>
              <w:wordWrap w:val="0"/>
              <w:autoSpaceDE w:val="0"/>
              <w:autoSpaceDN w:val="0"/>
              <w:snapToGrid w:val="0"/>
              <w:ind w:left="1054" w:right="-318" w:hanging="1228"/>
              <w:jc w:val="center"/>
              <w:rPr>
                <w:rFonts w:ascii="仿宋_GB2312" w:hAnsi="仿宋" w:eastAsia="仿宋_GB2312"/>
                <w:b/>
                <w:color w:val="000000"/>
                <w:sz w:val="24"/>
                <w:szCs w:val="24"/>
                <w:lang w:val="zh-CN"/>
              </w:rPr>
            </w:pPr>
            <w:r>
              <w:rPr>
                <w:rFonts w:hint="eastAsia" w:ascii="仿宋_GB2312" w:hAnsi="仿宋" w:eastAsia="仿宋_GB2312"/>
                <w:b/>
                <w:color w:val="000000"/>
                <w:sz w:val="24"/>
                <w:szCs w:val="24"/>
                <w:lang w:val="zh-CN"/>
              </w:rPr>
              <w:t>报价得分</w:t>
            </w:r>
          </w:p>
        </w:tc>
        <w:tc>
          <w:tcPr>
            <w:tcW w:w="1640" w:type="dxa"/>
            <w:tcBorders>
              <w:top w:val="single" w:color="auto" w:sz="6" w:space="0"/>
              <w:left w:val="single" w:color="auto" w:sz="6" w:space="0"/>
              <w:bottom w:val="single" w:color="auto" w:sz="6" w:space="0"/>
              <w:right w:val="single" w:color="auto" w:sz="6" w:space="0"/>
            </w:tcBorders>
            <w:noWrap w:val="0"/>
            <w:vAlign w:val="center"/>
          </w:tcPr>
          <w:p>
            <w:pPr>
              <w:tabs>
                <w:tab w:val="left" w:pos="6480"/>
              </w:tabs>
              <w:wordWrap w:val="0"/>
              <w:autoSpaceDE w:val="0"/>
              <w:autoSpaceDN w:val="0"/>
              <w:snapToGrid w:val="0"/>
              <w:ind w:left="1054" w:right="-318" w:hanging="1228"/>
              <w:jc w:val="center"/>
              <w:rPr>
                <w:rFonts w:ascii="仿宋_GB2312" w:hAnsi="仿宋" w:eastAsia="仿宋_GB2312"/>
                <w:b/>
                <w:color w:val="000000"/>
                <w:sz w:val="24"/>
                <w:szCs w:val="24"/>
                <w:lang w:val="zh-CN"/>
              </w:rPr>
            </w:pPr>
            <w:r>
              <w:rPr>
                <w:rFonts w:hint="eastAsia" w:ascii="仿宋_GB2312" w:hAnsi="仿宋" w:eastAsia="仿宋_GB2312"/>
                <w:b/>
                <w:color w:val="000000"/>
                <w:sz w:val="24"/>
                <w:szCs w:val="24"/>
                <w:lang w:val="zh-CN"/>
              </w:rPr>
              <w:t>商务得分</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tabs>
                <w:tab w:val="left" w:pos="6480"/>
              </w:tabs>
              <w:wordWrap w:val="0"/>
              <w:autoSpaceDE w:val="0"/>
              <w:autoSpaceDN w:val="0"/>
              <w:snapToGrid w:val="0"/>
              <w:ind w:left="1054" w:right="-318" w:hanging="1228"/>
              <w:jc w:val="center"/>
              <w:rPr>
                <w:rFonts w:ascii="仿宋_GB2312" w:hAnsi="仿宋" w:eastAsia="仿宋_GB2312"/>
                <w:b/>
                <w:color w:val="000000"/>
                <w:sz w:val="24"/>
                <w:szCs w:val="24"/>
                <w:lang w:val="zh-CN"/>
              </w:rPr>
            </w:pPr>
            <w:r>
              <w:rPr>
                <w:rFonts w:ascii="仿宋_GB2312" w:hAnsi="仿宋" w:eastAsia="仿宋_GB2312"/>
                <w:b/>
                <w:color w:val="000000"/>
                <w:sz w:val="24"/>
                <w:szCs w:val="24"/>
                <w:lang w:val="zh-CN"/>
              </w:rPr>
              <w:t>技术</w:t>
            </w:r>
            <w:r>
              <w:rPr>
                <w:rFonts w:hint="eastAsia" w:ascii="仿宋_GB2312" w:hAnsi="仿宋" w:eastAsia="仿宋_GB2312"/>
                <w:b/>
                <w:color w:val="000000"/>
                <w:sz w:val="24"/>
                <w:szCs w:val="24"/>
                <w:lang w:val="zh-CN"/>
              </w:rPr>
              <w:t>得分</w:t>
            </w:r>
          </w:p>
        </w:tc>
        <w:tc>
          <w:tcPr>
            <w:tcW w:w="1151" w:type="dxa"/>
            <w:tcBorders>
              <w:top w:val="single" w:color="auto" w:sz="6" w:space="0"/>
              <w:left w:val="single" w:color="auto" w:sz="6" w:space="0"/>
              <w:bottom w:val="single" w:color="auto" w:sz="6" w:space="0"/>
              <w:right w:val="single" w:color="auto" w:sz="6" w:space="0"/>
            </w:tcBorders>
            <w:noWrap w:val="0"/>
            <w:vAlign w:val="center"/>
          </w:tcPr>
          <w:p>
            <w:pPr>
              <w:tabs>
                <w:tab w:val="left" w:pos="6480"/>
              </w:tabs>
              <w:wordWrap w:val="0"/>
              <w:autoSpaceDE w:val="0"/>
              <w:autoSpaceDN w:val="0"/>
              <w:snapToGrid w:val="0"/>
              <w:ind w:left="1054" w:right="-318" w:hanging="1228"/>
              <w:jc w:val="center"/>
              <w:rPr>
                <w:rFonts w:ascii="仿宋_GB2312" w:hAnsi="仿宋" w:eastAsia="仿宋_GB2312"/>
                <w:b/>
                <w:color w:val="000000"/>
                <w:sz w:val="24"/>
                <w:szCs w:val="24"/>
                <w:lang w:val="zh-CN"/>
              </w:rPr>
            </w:pPr>
            <w:r>
              <w:rPr>
                <w:rFonts w:ascii="仿宋_GB2312" w:hAnsi="仿宋" w:eastAsia="仿宋_GB2312"/>
                <w:b/>
                <w:color w:val="000000"/>
                <w:sz w:val="24"/>
                <w:szCs w:val="24"/>
                <w:lang w:val="zh-CN"/>
              </w:rPr>
              <w:t>总分值</w:t>
            </w:r>
          </w:p>
        </w:tc>
      </w:tr>
      <w:tr>
        <w:tblPrEx>
          <w:tblCellMar>
            <w:top w:w="0" w:type="dxa"/>
            <w:left w:w="10" w:type="dxa"/>
            <w:bottom w:w="0" w:type="dxa"/>
            <w:right w:w="10" w:type="dxa"/>
          </w:tblCellMar>
        </w:tblPrEx>
        <w:trPr>
          <w:trHeight w:val="613" w:hRule="atLeast"/>
        </w:trPr>
        <w:tc>
          <w:tcPr>
            <w:tcW w:w="1313" w:type="dxa"/>
            <w:tcBorders>
              <w:top w:val="single" w:color="auto" w:sz="6" w:space="0"/>
              <w:left w:val="single" w:color="auto" w:sz="6" w:space="0"/>
              <w:bottom w:val="single" w:color="auto" w:sz="6" w:space="0"/>
              <w:right w:val="single" w:color="auto" w:sz="6" w:space="0"/>
            </w:tcBorders>
            <w:noWrap w:val="0"/>
            <w:vAlign w:val="center"/>
          </w:tcPr>
          <w:p>
            <w:pPr>
              <w:tabs>
                <w:tab w:val="left" w:pos="6480"/>
              </w:tabs>
              <w:wordWrap w:val="0"/>
              <w:autoSpaceDE w:val="0"/>
              <w:autoSpaceDN w:val="0"/>
              <w:snapToGrid w:val="0"/>
              <w:ind w:left="1050" w:right="-318" w:hanging="1224"/>
              <w:jc w:val="center"/>
              <w:rPr>
                <w:rFonts w:ascii="仿宋_GB2312" w:hAnsi="仿宋" w:eastAsia="仿宋_GB2312"/>
                <w:color w:val="000000"/>
                <w:sz w:val="24"/>
                <w:szCs w:val="24"/>
                <w:lang w:val="zh-CN"/>
              </w:rPr>
            </w:pPr>
            <w:r>
              <w:rPr>
                <w:rFonts w:ascii="仿宋_GB2312" w:hAnsi="仿宋" w:eastAsia="仿宋_GB2312"/>
                <w:color w:val="000000"/>
                <w:sz w:val="24"/>
                <w:szCs w:val="24"/>
                <w:lang w:val="zh-CN"/>
              </w:rPr>
              <w:t>分值</w:t>
            </w:r>
          </w:p>
        </w:tc>
        <w:tc>
          <w:tcPr>
            <w:tcW w:w="1640" w:type="dxa"/>
            <w:tcBorders>
              <w:top w:val="single" w:color="auto" w:sz="6" w:space="0"/>
              <w:left w:val="single" w:color="auto" w:sz="6" w:space="0"/>
              <w:bottom w:val="single" w:color="auto" w:sz="6" w:space="0"/>
              <w:right w:val="single" w:color="auto" w:sz="6" w:space="0"/>
            </w:tcBorders>
            <w:noWrap w:val="0"/>
            <w:vAlign w:val="center"/>
          </w:tcPr>
          <w:p>
            <w:pPr>
              <w:tabs>
                <w:tab w:val="left" w:pos="6480"/>
              </w:tabs>
              <w:wordWrap w:val="0"/>
              <w:autoSpaceDE w:val="0"/>
              <w:autoSpaceDN w:val="0"/>
              <w:snapToGrid w:val="0"/>
              <w:ind w:left="1050" w:right="-318" w:hanging="1224"/>
              <w:jc w:val="center"/>
              <w:rPr>
                <w:rFonts w:hint="default" w:ascii="仿宋_GB2312" w:hAnsi="仿宋" w:eastAsia="仿宋_GB2312"/>
                <w:color w:val="000000"/>
                <w:sz w:val="24"/>
                <w:szCs w:val="24"/>
                <w:lang w:val="en-US" w:eastAsia="zh-CN"/>
              </w:rPr>
            </w:pPr>
            <w:r>
              <w:rPr>
                <w:rFonts w:hint="eastAsia" w:ascii="仿宋_GB2312" w:hAnsi="仿宋" w:eastAsia="仿宋_GB2312"/>
                <w:color w:val="000000"/>
                <w:sz w:val="24"/>
                <w:szCs w:val="24"/>
                <w:lang w:val="en-US" w:eastAsia="zh-CN"/>
              </w:rPr>
              <w:t>50</w:t>
            </w:r>
          </w:p>
        </w:tc>
        <w:tc>
          <w:tcPr>
            <w:tcW w:w="1640"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jc w:val="center"/>
              <w:rPr>
                <w:rFonts w:hint="default" w:ascii="仿宋_GB2312" w:hAnsi="楷体" w:eastAsia="仿宋_GB2312"/>
                <w:sz w:val="24"/>
                <w:szCs w:val="24"/>
                <w:lang w:val="en-US" w:eastAsia="zh-CN"/>
              </w:rPr>
            </w:pPr>
            <w:r>
              <w:rPr>
                <w:rFonts w:hint="eastAsia" w:ascii="仿宋_GB2312" w:hAnsi="楷体" w:eastAsia="仿宋_GB2312"/>
                <w:sz w:val="24"/>
                <w:szCs w:val="24"/>
                <w:lang w:val="en-US" w:eastAsia="zh-CN"/>
              </w:rPr>
              <w:t>25</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jc w:val="center"/>
              <w:rPr>
                <w:rFonts w:hint="default" w:ascii="仿宋_GB2312" w:hAnsi="楷体" w:eastAsia="仿宋_GB2312"/>
                <w:sz w:val="24"/>
                <w:szCs w:val="24"/>
                <w:lang w:val="en-US" w:eastAsia="zh-CN"/>
              </w:rPr>
            </w:pPr>
            <w:r>
              <w:rPr>
                <w:rFonts w:hint="eastAsia" w:ascii="仿宋_GB2312" w:hAnsi="楷体" w:eastAsia="仿宋_GB2312"/>
                <w:sz w:val="24"/>
                <w:szCs w:val="24"/>
                <w:lang w:val="en-US" w:eastAsia="zh-CN"/>
              </w:rPr>
              <w:t>25</w:t>
            </w:r>
          </w:p>
        </w:tc>
        <w:tc>
          <w:tcPr>
            <w:tcW w:w="1151" w:type="dxa"/>
            <w:tcBorders>
              <w:top w:val="single" w:color="auto" w:sz="6" w:space="0"/>
              <w:left w:val="single" w:color="auto" w:sz="6" w:space="0"/>
              <w:bottom w:val="single" w:color="auto" w:sz="6" w:space="0"/>
              <w:right w:val="single" w:color="auto" w:sz="6" w:space="0"/>
            </w:tcBorders>
            <w:noWrap w:val="0"/>
            <w:vAlign w:val="center"/>
          </w:tcPr>
          <w:p>
            <w:pPr>
              <w:tabs>
                <w:tab w:val="left" w:pos="6480"/>
              </w:tabs>
              <w:wordWrap w:val="0"/>
              <w:autoSpaceDE w:val="0"/>
              <w:autoSpaceDN w:val="0"/>
              <w:snapToGrid w:val="0"/>
              <w:ind w:left="1050" w:right="-318" w:hanging="1224"/>
              <w:jc w:val="center"/>
              <w:rPr>
                <w:rFonts w:ascii="仿宋_GB2312" w:hAnsi="仿宋" w:eastAsia="仿宋_GB2312"/>
                <w:color w:val="000000"/>
                <w:sz w:val="24"/>
                <w:szCs w:val="24"/>
                <w:lang w:val="zh-CN"/>
              </w:rPr>
            </w:pPr>
            <w:r>
              <w:rPr>
                <w:rFonts w:ascii="仿宋_GB2312" w:hAnsi="仿宋" w:eastAsia="仿宋_GB2312"/>
                <w:color w:val="000000"/>
                <w:sz w:val="24"/>
                <w:szCs w:val="24"/>
                <w:lang w:val="zh-CN"/>
              </w:rPr>
              <w:t>100</w:t>
            </w:r>
          </w:p>
        </w:tc>
      </w:tr>
    </w:tbl>
    <w:p>
      <w:pPr>
        <w:ind w:firstLine="640" w:firstLineChars="200"/>
        <w:rPr>
          <w:rFonts w:hint="eastAsia" w:ascii="仿宋_GB2312" w:hAnsi="Times New Roman" w:eastAsia="仿宋_GB2312" w:cs="Times New Roman"/>
          <w:sz w:val="32"/>
          <w:szCs w:val="32"/>
          <w:lang w:val="en-US" w:eastAsia="zh-CN"/>
        </w:rPr>
      </w:pPr>
    </w:p>
    <w:p>
      <w:pPr>
        <w:ind w:firstLine="640" w:firstLineChars="200"/>
        <w:rPr>
          <w:rFonts w:hint="eastAsia" w:ascii="仿宋_GB2312" w:hAnsi="Times New Roman" w:eastAsia="仿宋_GB2312" w:cs="Times New Roman"/>
          <w:sz w:val="32"/>
          <w:szCs w:val="32"/>
          <w:lang w:val="en-US" w:eastAsia="zh-CN"/>
        </w:rPr>
      </w:pPr>
    </w:p>
    <w:p>
      <w:pPr>
        <w:ind w:firstLine="640" w:firstLineChars="200"/>
        <w:rPr>
          <w:rFonts w:hint="eastAsia" w:ascii="仿宋_GB2312" w:hAnsi="Times New Roman" w:eastAsia="仿宋_GB2312" w:cs="Times New Roman"/>
          <w:sz w:val="32"/>
          <w:szCs w:val="32"/>
          <w:lang w:val="en-US" w:eastAsia="zh-CN"/>
        </w:rPr>
      </w:pPr>
    </w:p>
    <w:p>
      <w:pPr>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3.1报价得分</w:t>
      </w:r>
    </w:p>
    <w:tbl>
      <w:tblPr>
        <w:tblStyle w:val="10"/>
        <w:tblW w:w="8008" w:type="dxa"/>
        <w:tblInd w:w="292" w:type="dxa"/>
        <w:tblLayout w:type="fixed"/>
        <w:tblCellMar>
          <w:top w:w="0" w:type="dxa"/>
          <w:left w:w="108" w:type="dxa"/>
          <w:bottom w:w="0" w:type="dxa"/>
          <w:right w:w="108" w:type="dxa"/>
        </w:tblCellMar>
      </w:tblPr>
      <w:tblGrid>
        <w:gridCol w:w="1281"/>
        <w:gridCol w:w="830"/>
        <w:gridCol w:w="5897"/>
      </w:tblGrid>
      <w:tr>
        <w:tblPrEx>
          <w:tblCellMar>
            <w:top w:w="0" w:type="dxa"/>
            <w:left w:w="108" w:type="dxa"/>
            <w:bottom w:w="0" w:type="dxa"/>
            <w:right w:w="108" w:type="dxa"/>
          </w:tblCellMar>
        </w:tblPrEx>
        <w:trPr>
          <w:trHeight w:val="653" w:hRule="atLeast"/>
        </w:trPr>
        <w:tc>
          <w:tcPr>
            <w:tcW w:w="1281"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ascii="仿宋_GB2312" w:hAnsi="仿宋" w:eastAsia="仿宋_GB2312"/>
                <w:b/>
                <w:color w:val="000000"/>
                <w:sz w:val="24"/>
                <w:szCs w:val="24"/>
                <w:lang w:val="zh-CN"/>
              </w:rPr>
            </w:pPr>
            <w:r>
              <w:rPr>
                <w:rFonts w:ascii="仿宋_GB2312" w:hAnsi="仿宋" w:eastAsia="仿宋_GB2312"/>
                <w:b/>
                <w:color w:val="000000"/>
                <w:sz w:val="24"/>
                <w:szCs w:val="24"/>
                <w:lang w:val="zh-CN"/>
              </w:rPr>
              <w:t>评审项目</w:t>
            </w:r>
          </w:p>
        </w:tc>
        <w:tc>
          <w:tcPr>
            <w:tcW w:w="830"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ascii="仿宋_GB2312" w:hAnsi="仿宋" w:eastAsia="仿宋_GB2312"/>
                <w:b/>
                <w:color w:val="000000"/>
                <w:sz w:val="24"/>
                <w:szCs w:val="24"/>
                <w:lang w:val="zh-CN"/>
              </w:rPr>
            </w:pPr>
            <w:r>
              <w:rPr>
                <w:rFonts w:ascii="仿宋_GB2312" w:hAnsi="仿宋" w:eastAsia="仿宋_GB2312"/>
                <w:b/>
                <w:color w:val="000000"/>
                <w:sz w:val="24"/>
                <w:szCs w:val="24"/>
                <w:lang w:val="zh-CN"/>
              </w:rPr>
              <w:t>分值</w:t>
            </w:r>
          </w:p>
        </w:tc>
        <w:tc>
          <w:tcPr>
            <w:tcW w:w="5897"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ascii="仿宋_GB2312" w:hAnsi="仿宋" w:eastAsia="仿宋_GB2312"/>
                <w:b/>
                <w:color w:val="000000"/>
                <w:sz w:val="24"/>
                <w:szCs w:val="24"/>
                <w:lang w:val="zh-CN"/>
              </w:rPr>
            </w:pPr>
            <w:r>
              <w:rPr>
                <w:rFonts w:ascii="仿宋_GB2312" w:hAnsi="仿宋" w:eastAsia="仿宋_GB2312"/>
                <w:b/>
                <w:color w:val="000000"/>
                <w:sz w:val="24"/>
                <w:szCs w:val="24"/>
                <w:lang w:val="zh-CN"/>
              </w:rPr>
              <w:t>评分标准</w:t>
            </w:r>
          </w:p>
        </w:tc>
      </w:tr>
      <w:tr>
        <w:tblPrEx>
          <w:tblCellMar>
            <w:top w:w="0" w:type="dxa"/>
            <w:left w:w="108" w:type="dxa"/>
            <w:bottom w:w="0" w:type="dxa"/>
            <w:right w:w="108" w:type="dxa"/>
          </w:tblCellMar>
        </w:tblPrEx>
        <w:trPr>
          <w:trHeight w:val="1724" w:hRule="atLeast"/>
        </w:trPr>
        <w:tc>
          <w:tcPr>
            <w:tcW w:w="1281"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ascii="仿宋_GB2312" w:hAnsi="仿宋" w:eastAsia="仿宋_GB2312"/>
                <w:color w:val="000000"/>
                <w:sz w:val="24"/>
                <w:szCs w:val="24"/>
                <w:lang w:val="zh-CN"/>
              </w:rPr>
            </w:pPr>
            <w:r>
              <w:rPr>
                <w:rFonts w:ascii="仿宋_GB2312" w:hAnsi="仿宋" w:eastAsia="仿宋_GB2312"/>
                <w:color w:val="000000"/>
                <w:sz w:val="24"/>
                <w:szCs w:val="24"/>
                <w:lang w:val="zh-CN"/>
              </w:rPr>
              <w:t>报价</w:t>
            </w:r>
          </w:p>
        </w:tc>
        <w:tc>
          <w:tcPr>
            <w:tcW w:w="830"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hint="default" w:ascii="仿宋_GB2312" w:hAnsi="仿宋" w:eastAsia="仿宋_GB2312"/>
                <w:color w:val="000000"/>
                <w:sz w:val="24"/>
                <w:szCs w:val="24"/>
                <w:lang w:val="en-US" w:eastAsia="zh-CN"/>
              </w:rPr>
            </w:pPr>
            <w:r>
              <w:rPr>
                <w:rFonts w:hint="eastAsia" w:ascii="仿宋_GB2312" w:hAnsi="仿宋" w:eastAsia="仿宋_GB2312"/>
                <w:color w:val="000000"/>
                <w:sz w:val="24"/>
                <w:szCs w:val="24"/>
                <w:lang w:val="en-US" w:eastAsia="zh-CN"/>
              </w:rPr>
              <w:t>50</w:t>
            </w:r>
          </w:p>
        </w:tc>
        <w:tc>
          <w:tcPr>
            <w:tcW w:w="5897"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spacing w:line="360" w:lineRule="exact"/>
              <w:ind w:firstLine="480" w:firstLineChars="200"/>
              <w:rPr>
                <w:rFonts w:ascii="仿宋_GB2312" w:hAnsi="仿宋" w:eastAsia="仿宋_GB2312"/>
                <w:sz w:val="24"/>
                <w:szCs w:val="24"/>
                <w:lang w:val="zh-CN"/>
              </w:rPr>
            </w:pPr>
            <w:r>
              <w:rPr>
                <w:rFonts w:ascii="仿宋_GB2312" w:hAnsi="仿宋" w:eastAsia="仿宋_GB2312"/>
                <w:sz w:val="24"/>
                <w:szCs w:val="24"/>
                <w:lang w:val="zh-CN"/>
              </w:rPr>
              <w:t>（1）有效</w:t>
            </w:r>
            <w:r>
              <w:rPr>
                <w:rFonts w:hint="eastAsia" w:ascii="仿宋_GB2312" w:hAnsi="仿宋" w:eastAsia="仿宋_GB2312"/>
                <w:sz w:val="24"/>
                <w:szCs w:val="24"/>
                <w:lang w:val="zh-CN"/>
              </w:rPr>
              <w:t>供应商</w:t>
            </w:r>
            <w:r>
              <w:rPr>
                <w:rFonts w:ascii="仿宋_GB2312" w:hAnsi="仿宋" w:eastAsia="仿宋_GB2312"/>
                <w:sz w:val="24"/>
                <w:szCs w:val="24"/>
                <w:lang w:val="zh-CN"/>
              </w:rPr>
              <w:t>数少于5家（含5家），所有有效报价的算术平均值的90%为评标基准价，（保留两位小数）。</w:t>
            </w:r>
          </w:p>
          <w:p>
            <w:pPr>
              <w:wordWrap w:val="0"/>
              <w:autoSpaceDE w:val="0"/>
              <w:autoSpaceDN w:val="0"/>
              <w:snapToGrid w:val="0"/>
              <w:spacing w:line="360" w:lineRule="exact"/>
              <w:ind w:firstLine="480" w:firstLineChars="200"/>
              <w:rPr>
                <w:rFonts w:ascii="仿宋_GB2312" w:hAnsi="仿宋" w:eastAsia="仿宋_GB2312"/>
                <w:sz w:val="24"/>
                <w:szCs w:val="24"/>
                <w:lang w:val="zh-CN"/>
              </w:rPr>
            </w:pPr>
            <w:r>
              <w:rPr>
                <w:rFonts w:ascii="仿宋_GB2312" w:hAnsi="仿宋" w:eastAsia="仿宋_GB2312"/>
                <w:sz w:val="24"/>
                <w:szCs w:val="24"/>
                <w:lang w:val="zh-CN"/>
              </w:rPr>
              <w:t>（2）有效</w:t>
            </w:r>
            <w:r>
              <w:rPr>
                <w:rFonts w:hint="eastAsia" w:ascii="仿宋_GB2312" w:hAnsi="仿宋" w:eastAsia="仿宋_GB2312"/>
                <w:sz w:val="24"/>
                <w:szCs w:val="24"/>
                <w:lang w:val="zh-CN"/>
              </w:rPr>
              <w:t>供应商</w:t>
            </w:r>
            <w:r>
              <w:rPr>
                <w:rFonts w:ascii="仿宋_GB2312" w:hAnsi="仿宋" w:eastAsia="仿宋_GB2312"/>
                <w:sz w:val="24"/>
                <w:szCs w:val="24"/>
                <w:lang w:val="zh-CN"/>
              </w:rPr>
              <w:t>数多于6家（含6家），去掉一个最高报价和一个最低报价后，其余有效报价算术平均值的90%（保留两位小数）作为评标基准价。</w:t>
            </w:r>
          </w:p>
          <w:p>
            <w:pPr>
              <w:wordWrap w:val="0"/>
              <w:autoSpaceDE w:val="0"/>
              <w:autoSpaceDN w:val="0"/>
              <w:snapToGrid w:val="0"/>
              <w:spacing w:line="360" w:lineRule="exact"/>
              <w:ind w:firstLine="480" w:firstLineChars="200"/>
              <w:rPr>
                <w:rFonts w:ascii="仿宋_GB2312" w:hAnsi="仿宋" w:eastAsia="仿宋_GB2312"/>
                <w:sz w:val="24"/>
                <w:szCs w:val="24"/>
                <w:lang w:val="zh-CN"/>
              </w:rPr>
            </w:pPr>
            <w:r>
              <w:rPr>
                <w:rFonts w:ascii="仿宋_GB2312" w:hAnsi="仿宋" w:eastAsia="仿宋_GB2312"/>
                <w:sz w:val="24"/>
                <w:szCs w:val="24"/>
                <w:lang w:val="zh-CN"/>
              </w:rPr>
              <w:t>（3）报价与评标基准价一致的，得最高分</w:t>
            </w:r>
            <w:r>
              <w:rPr>
                <w:rFonts w:hint="eastAsia" w:ascii="仿宋_GB2312" w:hAnsi="仿宋" w:eastAsia="仿宋_GB2312"/>
                <w:sz w:val="24"/>
                <w:szCs w:val="24"/>
                <w:lang w:val="en-US" w:eastAsia="zh-CN"/>
              </w:rPr>
              <w:t>50</w:t>
            </w:r>
            <w:r>
              <w:rPr>
                <w:rFonts w:ascii="仿宋_GB2312" w:hAnsi="仿宋" w:eastAsia="仿宋_GB2312"/>
                <w:sz w:val="24"/>
                <w:szCs w:val="24"/>
                <w:lang w:val="zh-CN"/>
              </w:rPr>
              <w:t>分：在评标基准价以上，每提高一个百分点，在</w:t>
            </w:r>
            <w:r>
              <w:rPr>
                <w:rFonts w:hint="eastAsia" w:ascii="仿宋_GB2312" w:hAnsi="仿宋" w:eastAsia="仿宋_GB2312"/>
                <w:sz w:val="24"/>
                <w:szCs w:val="24"/>
                <w:lang w:val="en-US" w:eastAsia="zh-CN"/>
              </w:rPr>
              <w:t>50</w:t>
            </w:r>
            <w:r>
              <w:rPr>
                <w:rFonts w:ascii="仿宋_GB2312" w:hAnsi="仿宋" w:eastAsia="仿宋_GB2312"/>
                <w:sz w:val="24"/>
                <w:szCs w:val="24"/>
                <w:lang w:val="zh-CN"/>
              </w:rPr>
              <w:t>分基础上减1分；在评标基准价以下，每减少一个百分点，在</w:t>
            </w:r>
            <w:r>
              <w:rPr>
                <w:rFonts w:hint="eastAsia" w:ascii="仿宋_GB2312" w:hAnsi="仿宋" w:eastAsia="仿宋_GB2312"/>
                <w:sz w:val="24"/>
                <w:szCs w:val="24"/>
                <w:lang w:val="en-US" w:eastAsia="zh-CN"/>
              </w:rPr>
              <w:t>50</w:t>
            </w:r>
            <w:r>
              <w:rPr>
                <w:rFonts w:ascii="仿宋_GB2312" w:hAnsi="仿宋" w:eastAsia="仿宋_GB2312"/>
                <w:sz w:val="24"/>
                <w:szCs w:val="24"/>
                <w:lang w:val="zh-CN"/>
              </w:rPr>
              <w:t>分的基础上减0.5分。（最低得20分）</w:t>
            </w:r>
          </w:p>
          <w:p>
            <w:pPr>
              <w:wordWrap w:val="0"/>
              <w:autoSpaceDE w:val="0"/>
              <w:autoSpaceDN w:val="0"/>
              <w:snapToGrid w:val="0"/>
              <w:spacing w:line="360" w:lineRule="exact"/>
              <w:ind w:firstLine="480" w:firstLineChars="200"/>
              <w:rPr>
                <w:rFonts w:ascii="仿宋_GB2312" w:hAnsi="仿宋" w:eastAsia="仿宋_GB2312"/>
                <w:color w:val="000000"/>
                <w:sz w:val="24"/>
                <w:szCs w:val="24"/>
                <w:lang w:val="zh-CN"/>
              </w:rPr>
            </w:pPr>
            <w:r>
              <w:rPr>
                <w:rFonts w:ascii="仿宋_GB2312" w:hAnsi="仿宋" w:eastAsia="仿宋_GB2312"/>
                <w:sz w:val="24"/>
                <w:szCs w:val="24"/>
                <w:lang w:val="zh-CN"/>
              </w:rPr>
              <w:t>偏差率=100%×（</w:t>
            </w:r>
            <w:r>
              <w:rPr>
                <w:rFonts w:hint="eastAsia" w:ascii="仿宋_GB2312" w:hAnsi="仿宋" w:eastAsia="仿宋_GB2312"/>
                <w:sz w:val="24"/>
                <w:szCs w:val="24"/>
                <w:lang w:val="zh-CN"/>
              </w:rPr>
              <w:t>供应商</w:t>
            </w:r>
            <w:r>
              <w:rPr>
                <w:rFonts w:ascii="仿宋_GB2312" w:hAnsi="仿宋" w:eastAsia="仿宋_GB2312"/>
                <w:sz w:val="24"/>
                <w:szCs w:val="24"/>
                <w:lang w:val="zh-CN"/>
              </w:rPr>
              <w:t>报价－评标基准价）/评标基准价</w:t>
            </w:r>
          </w:p>
        </w:tc>
      </w:tr>
    </w:tbl>
    <w:p>
      <w:pPr>
        <w:ind w:firstLine="640"/>
        <w:rPr>
          <w:rFonts w:hint="default"/>
          <w:lang w:val="en-US" w:eastAsia="zh-CN"/>
        </w:rPr>
      </w:pPr>
    </w:p>
    <w:p>
      <w:pPr>
        <w:spacing w:line="560" w:lineRule="exact"/>
        <w:ind w:firstLine="600" w:firstLineChars="200"/>
        <w:jc w:val="left"/>
        <w:rPr>
          <w:rFonts w:hint="eastAsia" w:ascii="仿宋_GB2312" w:eastAsia="仿宋_GB2312" w:hAnsiTheme="minorHAnsi" w:cstheme="minorBidi"/>
          <w:b w:val="0"/>
          <w:bCs w:val="0"/>
          <w:kern w:val="2"/>
          <w:sz w:val="30"/>
          <w:szCs w:val="30"/>
          <w:lang w:val="en-US" w:eastAsia="zh-CN" w:bidi="ar-SA"/>
        </w:rPr>
      </w:pPr>
      <w:r>
        <w:rPr>
          <w:rFonts w:hint="eastAsia" w:ascii="仿宋_GB2312" w:eastAsia="仿宋_GB2312" w:cstheme="minorBidi"/>
          <w:b w:val="0"/>
          <w:bCs w:val="0"/>
          <w:kern w:val="2"/>
          <w:sz w:val="30"/>
          <w:szCs w:val="30"/>
          <w:lang w:val="en-US" w:eastAsia="zh-CN" w:bidi="ar-SA"/>
        </w:rPr>
        <w:t>3</w:t>
      </w:r>
      <w:r>
        <w:rPr>
          <w:rFonts w:hint="eastAsia" w:ascii="仿宋_GB2312" w:eastAsia="仿宋_GB2312" w:hAnsiTheme="minorHAnsi" w:cstheme="minorBidi"/>
          <w:b w:val="0"/>
          <w:bCs w:val="0"/>
          <w:kern w:val="2"/>
          <w:sz w:val="30"/>
          <w:szCs w:val="30"/>
          <w:lang w:val="en-US" w:eastAsia="zh-CN" w:bidi="ar-SA"/>
        </w:rPr>
        <w:t>.2 商务得分</w:t>
      </w:r>
    </w:p>
    <w:tbl>
      <w:tblPr>
        <w:tblStyle w:val="10"/>
        <w:tblW w:w="0" w:type="auto"/>
        <w:tblInd w:w="292" w:type="dxa"/>
        <w:tblLayout w:type="fixed"/>
        <w:tblCellMar>
          <w:top w:w="0" w:type="dxa"/>
          <w:left w:w="108" w:type="dxa"/>
          <w:bottom w:w="0" w:type="dxa"/>
          <w:right w:w="108" w:type="dxa"/>
        </w:tblCellMar>
      </w:tblPr>
      <w:tblGrid>
        <w:gridCol w:w="1346"/>
        <w:gridCol w:w="765"/>
        <w:gridCol w:w="5897"/>
      </w:tblGrid>
      <w:tr>
        <w:tblPrEx>
          <w:tblCellMar>
            <w:top w:w="0" w:type="dxa"/>
            <w:left w:w="108" w:type="dxa"/>
            <w:bottom w:w="0" w:type="dxa"/>
            <w:right w:w="108" w:type="dxa"/>
          </w:tblCellMar>
        </w:tblPrEx>
        <w:trPr>
          <w:trHeight w:val="742" w:hRule="atLeast"/>
        </w:trPr>
        <w:tc>
          <w:tcPr>
            <w:tcW w:w="1346"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ascii="仿宋_GB2312" w:hAnsi="仿宋" w:eastAsia="仿宋_GB2312"/>
                <w:b/>
                <w:color w:val="000000"/>
                <w:sz w:val="24"/>
                <w:szCs w:val="24"/>
                <w:lang w:val="zh-CN"/>
              </w:rPr>
            </w:pPr>
            <w:r>
              <w:rPr>
                <w:rFonts w:ascii="仿宋_GB2312" w:hAnsi="仿宋" w:eastAsia="仿宋_GB2312"/>
                <w:b/>
                <w:color w:val="000000"/>
                <w:sz w:val="24"/>
                <w:szCs w:val="24"/>
                <w:lang w:val="zh-CN"/>
              </w:rPr>
              <w:t>评审项目</w:t>
            </w:r>
          </w:p>
        </w:tc>
        <w:tc>
          <w:tcPr>
            <w:tcW w:w="765"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ascii="仿宋_GB2312" w:hAnsi="仿宋" w:eastAsia="仿宋_GB2312"/>
                <w:b/>
                <w:color w:val="000000"/>
                <w:sz w:val="24"/>
                <w:szCs w:val="24"/>
                <w:lang w:val="zh-CN"/>
              </w:rPr>
            </w:pPr>
            <w:r>
              <w:rPr>
                <w:rFonts w:ascii="仿宋_GB2312" w:hAnsi="仿宋" w:eastAsia="仿宋_GB2312"/>
                <w:b/>
                <w:color w:val="000000"/>
                <w:sz w:val="24"/>
                <w:szCs w:val="24"/>
                <w:lang w:val="zh-CN"/>
              </w:rPr>
              <w:t>分值</w:t>
            </w:r>
          </w:p>
        </w:tc>
        <w:tc>
          <w:tcPr>
            <w:tcW w:w="5897"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ascii="仿宋_GB2312" w:hAnsi="仿宋" w:eastAsia="仿宋_GB2312"/>
                <w:b/>
                <w:color w:val="000000"/>
                <w:sz w:val="24"/>
                <w:szCs w:val="24"/>
                <w:lang w:val="zh-CN"/>
              </w:rPr>
            </w:pPr>
            <w:r>
              <w:rPr>
                <w:rFonts w:ascii="仿宋_GB2312" w:hAnsi="仿宋" w:eastAsia="仿宋_GB2312"/>
                <w:b/>
                <w:color w:val="000000"/>
                <w:sz w:val="24"/>
                <w:szCs w:val="24"/>
                <w:lang w:val="zh-CN"/>
              </w:rPr>
              <w:t>评分标准</w:t>
            </w:r>
          </w:p>
        </w:tc>
      </w:tr>
      <w:tr>
        <w:tblPrEx>
          <w:tblCellMar>
            <w:top w:w="0" w:type="dxa"/>
            <w:left w:w="108" w:type="dxa"/>
            <w:bottom w:w="0" w:type="dxa"/>
            <w:right w:w="108" w:type="dxa"/>
          </w:tblCellMar>
        </w:tblPrEx>
        <w:trPr>
          <w:trHeight w:val="1082" w:hRule="atLeast"/>
        </w:trPr>
        <w:tc>
          <w:tcPr>
            <w:tcW w:w="1346"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ascii="仿宋_GB2312" w:hAnsi="仿宋" w:eastAsia="仿宋_GB2312" w:cstheme="minorBidi"/>
                <w:color w:val="000000"/>
                <w:kern w:val="2"/>
                <w:sz w:val="24"/>
                <w:szCs w:val="24"/>
                <w:lang w:val="zh-CN" w:eastAsia="zh-CN" w:bidi="ar-SA"/>
              </w:rPr>
            </w:pPr>
            <w:r>
              <w:rPr>
                <w:rFonts w:hint="eastAsia" w:ascii="仿宋_GB2312" w:hAnsi="仿宋" w:eastAsia="仿宋_GB2312"/>
                <w:color w:val="000000"/>
                <w:sz w:val="24"/>
                <w:szCs w:val="24"/>
                <w:lang w:val="zh-CN"/>
              </w:rPr>
              <w:t>专业资质文件</w:t>
            </w:r>
          </w:p>
        </w:tc>
        <w:tc>
          <w:tcPr>
            <w:tcW w:w="765"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hint="eastAsia" w:ascii="仿宋_GB2312" w:hAnsi="仿宋" w:eastAsia="仿宋_GB2312" w:cstheme="minorBidi"/>
                <w:color w:val="000000"/>
                <w:kern w:val="2"/>
                <w:sz w:val="24"/>
                <w:szCs w:val="24"/>
                <w:lang w:val="zh-CN" w:eastAsia="zh-CN" w:bidi="ar-SA"/>
              </w:rPr>
            </w:pPr>
            <w:r>
              <w:rPr>
                <w:rFonts w:hint="eastAsia" w:ascii="仿宋_GB2312" w:hAnsi="仿宋" w:eastAsia="仿宋_GB2312"/>
                <w:color w:val="000000"/>
                <w:sz w:val="24"/>
                <w:szCs w:val="24"/>
                <w:lang w:val="en-US" w:eastAsia="zh-CN"/>
              </w:rPr>
              <w:t>5</w:t>
            </w:r>
          </w:p>
        </w:tc>
        <w:tc>
          <w:tcPr>
            <w:tcW w:w="5897" w:type="dxa"/>
            <w:tcBorders>
              <w:top w:val="single" w:color="auto" w:sz="6" w:space="0"/>
              <w:left w:val="single" w:color="auto" w:sz="6" w:space="0"/>
              <w:bottom w:val="single" w:color="auto" w:sz="6" w:space="0"/>
              <w:right w:val="single" w:color="auto" w:sz="6" w:space="0"/>
            </w:tcBorders>
            <w:noWrap w:val="0"/>
            <w:vAlign w:val="center"/>
          </w:tcPr>
          <w:p>
            <w:pPr>
              <w:wordWrap/>
              <w:autoSpaceDE/>
              <w:autoSpaceDN/>
              <w:snapToGrid/>
              <w:spacing w:line="240" w:lineRule="auto"/>
              <w:ind w:firstLine="480" w:firstLineChars="200"/>
              <w:rPr>
                <w:rFonts w:ascii="仿宋_GB2312" w:hAnsi="仿宋" w:eastAsia="仿宋_GB2312" w:cstheme="minorBidi"/>
                <w:color w:val="000000"/>
                <w:kern w:val="2"/>
                <w:sz w:val="24"/>
                <w:szCs w:val="24"/>
                <w:lang w:val="zh-CN" w:eastAsia="zh-CN" w:bidi="ar-SA"/>
              </w:rPr>
            </w:pPr>
            <w:r>
              <w:rPr>
                <w:rFonts w:hint="eastAsia" w:ascii="仿宋_GB2312" w:hAnsi="仿宋" w:eastAsia="仿宋_GB2312"/>
                <w:sz w:val="24"/>
                <w:szCs w:val="24"/>
                <w:lang w:val="zh-CN"/>
              </w:rPr>
              <w:t>提供</w:t>
            </w:r>
            <w:r>
              <w:rPr>
                <w:rFonts w:hint="eastAsia" w:ascii="仿宋_GB2312" w:hAnsi="仿宋" w:eastAsia="仿宋_GB2312" w:cstheme="minorBidi"/>
                <w:kern w:val="2"/>
                <w:sz w:val="24"/>
                <w:szCs w:val="24"/>
                <w:u w:val="none"/>
                <w:lang w:val="zh-CN" w:eastAsia="zh-CN"/>
              </w:rPr>
              <w:t>能证明供应商专业性的资质文件，如ISO9001质量管理体系证书、安全生产许可证、建筑施工总承包、机电安装工程专业总承包资质等。</w:t>
            </w:r>
            <w:r>
              <w:rPr>
                <w:rFonts w:hint="eastAsia" w:ascii="仿宋_GB2312" w:hAnsi="仿宋" w:eastAsia="仿宋_GB2312"/>
                <w:sz w:val="24"/>
                <w:szCs w:val="24"/>
              </w:rPr>
              <w:t>评委根据</w:t>
            </w:r>
            <w:r>
              <w:rPr>
                <w:rFonts w:hint="eastAsia" w:ascii="仿宋_GB2312" w:hAnsi="仿宋" w:eastAsia="仿宋_GB2312"/>
                <w:sz w:val="24"/>
                <w:szCs w:val="24"/>
                <w:lang w:eastAsia="zh-CN"/>
              </w:rPr>
              <w:t>资质情况</w:t>
            </w:r>
            <w:r>
              <w:rPr>
                <w:rFonts w:hint="eastAsia" w:ascii="仿宋_GB2312" w:hAnsi="仿宋" w:eastAsia="仿宋_GB2312"/>
                <w:sz w:val="24"/>
                <w:szCs w:val="24"/>
              </w:rPr>
              <w:t>酌情得0-</w:t>
            </w:r>
            <w:r>
              <w:rPr>
                <w:rFonts w:hint="eastAsia" w:ascii="仿宋_GB2312" w:hAnsi="仿宋" w:eastAsia="仿宋_GB2312"/>
                <w:sz w:val="24"/>
                <w:szCs w:val="24"/>
                <w:lang w:val="en-US" w:eastAsia="zh-CN"/>
              </w:rPr>
              <w:t>5</w:t>
            </w:r>
            <w:r>
              <w:rPr>
                <w:rFonts w:hint="eastAsia" w:ascii="仿宋_GB2312" w:hAnsi="仿宋" w:eastAsia="仿宋_GB2312"/>
                <w:sz w:val="24"/>
                <w:szCs w:val="24"/>
              </w:rPr>
              <w:t>分</w:t>
            </w:r>
            <w:r>
              <w:rPr>
                <w:rFonts w:hint="eastAsia" w:ascii="仿宋_GB2312" w:hAnsi="仿宋" w:eastAsia="仿宋_GB2312" w:cstheme="minorBidi"/>
                <w:kern w:val="2"/>
                <w:sz w:val="24"/>
                <w:szCs w:val="24"/>
                <w:u w:val="none"/>
                <w:lang w:val="zh-CN" w:eastAsia="zh-CN"/>
              </w:rPr>
              <w:t>；</w:t>
            </w:r>
          </w:p>
        </w:tc>
      </w:tr>
      <w:tr>
        <w:tblPrEx>
          <w:tblCellMar>
            <w:top w:w="0" w:type="dxa"/>
            <w:left w:w="108" w:type="dxa"/>
            <w:bottom w:w="0" w:type="dxa"/>
            <w:right w:w="108" w:type="dxa"/>
          </w:tblCellMar>
        </w:tblPrEx>
        <w:trPr>
          <w:trHeight w:val="1082" w:hRule="atLeast"/>
        </w:trPr>
        <w:tc>
          <w:tcPr>
            <w:tcW w:w="1346"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hint="eastAsia" w:ascii="仿宋_GB2312" w:hAnsi="仿宋" w:eastAsia="仿宋_GB2312" w:cstheme="minorBidi"/>
                <w:color w:val="000000"/>
                <w:kern w:val="2"/>
                <w:sz w:val="24"/>
                <w:szCs w:val="24"/>
                <w:lang w:val="zh-CN" w:eastAsia="zh-CN" w:bidi="ar-SA"/>
              </w:rPr>
            </w:pPr>
            <w:r>
              <w:rPr>
                <w:rFonts w:ascii="仿宋_GB2312" w:hAnsi="仿宋" w:eastAsia="仿宋_GB2312"/>
                <w:color w:val="000000"/>
                <w:sz w:val="24"/>
                <w:szCs w:val="24"/>
                <w:lang w:val="zh-CN"/>
              </w:rPr>
              <w:t>企业业绩</w:t>
            </w:r>
          </w:p>
        </w:tc>
        <w:tc>
          <w:tcPr>
            <w:tcW w:w="765"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hint="eastAsia" w:ascii="仿宋_GB2312" w:hAnsi="仿宋" w:eastAsia="仿宋_GB2312" w:cstheme="minorBidi"/>
                <w:color w:val="000000"/>
                <w:kern w:val="2"/>
                <w:sz w:val="24"/>
                <w:szCs w:val="24"/>
                <w:lang w:val="en-US" w:eastAsia="zh-CN" w:bidi="ar-SA"/>
              </w:rPr>
            </w:pPr>
            <w:r>
              <w:rPr>
                <w:rFonts w:ascii="仿宋_GB2312" w:hAnsi="仿宋" w:eastAsia="仿宋_GB2312"/>
                <w:color w:val="000000"/>
                <w:sz w:val="24"/>
                <w:szCs w:val="24"/>
                <w:lang w:val="zh-CN"/>
              </w:rPr>
              <w:t>2</w:t>
            </w:r>
            <w:r>
              <w:rPr>
                <w:rFonts w:hint="eastAsia" w:ascii="仿宋_GB2312" w:hAnsi="仿宋" w:eastAsia="仿宋_GB2312"/>
                <w:color w:val="000000"/>
                <w:sz w:val="24"/>
                <w:szCs w:val="24"/>
                <w:lang w:val="en-US" w:eastAsia="zh-CN"/>
              </w:rPr>
              <w:t>0</w:t>
            </w:r>
          </w:p>
        </w:tc>
        <w:tc>
          <w:tcPr>
            <w:tcW w:w="5897"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spacing w:line="360" w:lineRule="exact"/>
              <w:rPr>
                <w:rFonts w:hint="eastAsia" w:ascii="仿宋_GB2312" w:hAnsi="仿宋" w:eastAsia="仿宋_GB2312" w:cstheme="minorBidi"/>
                <w:color w:val="000000"/>
                <w:kern w:val="2"/>
                <w:sz w:val="24"/>
                <w:szCs w:val="24"/>
                <w:lang w:val="zh-CN" w:eastAsia="zh-CN" w:bidi="ar-SA"/>
              </w:rPr>
            </w:pPr>
            <w:r>
              <w:rPr>
                <w:rFonts w:ascii="仿宋_GB2312" w:hAnsi="仿宋" w:eastAsia="仿宋_GB2312"/>
                <w:sz w:val="24"/>
                <w:szCs w:val="24"/>
                <w:lang w:val="zh-CN"/>
              </w:rPr>
              <w:t>提供</w:t>
            </w:r>
            <w:r>
              <w:rPr>
                <w:rFonts w:hint="eastAsia" w:ascii="仿宋_GB2312" w:hAnsi="仿宋" w:eastAsia="仿宋_GB2312"/>
                <w:sz w:val="24"/>
                <w:szCs w:val="24"/>
                <w:lang w:val="en-US" w:eastAsia="zh-CN"/>
              </w:rPr>
              <w:t>近2年以来的类似维修施工业绩合同，每个业绩</w:t>
            </w:r>
            <w:r>
              <w:rPr>
                <w:rFonts w:ascii="仿宋_GB2312" w:hAnsi="仿宋" w:eastAsia="仿宋_GB2312"/>
                <w:sz w:val="24"/>
                <w:szCs w:val="24"/>
                <w:lang w:val="zh-CN"/>
              </w:rPr>
              <w:t>得基本分</w:t>
            </w:r>
            <w:r>
              <w:rPr>
                <w:rFonts w:hint="eastAsia" w:ascii="仿宋_GB2312" w:hAnsi="仿宋" w:eastAsia="仿宋_GB2312"/>
                <w:sz w:val="24"/>
                <w:szCs w:val="24"/>
                <w:lang w:val="en-US" w:eastAsia="zh-CN"/>
              </w:rPr>
              <w:t>2</w:t>
            </w:r>
            <w:r>
              <w:rPr>
                <w:rFonts w:ascii="仿宋_GB2312" w:hAnsi="仿宋" w:eastAsia="仿宋_GB2312"/>
                <w:sz w:val="24"/>
                <w:szCs w:val="24"/>
                <w:lang w:val="zh-CN"/>
              </w:rPr>
              <w:t>分，满分20分。</w:t>
            </w:r>
          </w:p>
        </w:tc>
      </w:tr>
    </w:tbl>
    <w:p>
      <w:pPr>
        <w:pStyle w:val="3"/>
        <w:ind w:firstLine="600"/>
        <w:rPr>
          <w:rFonts w:hint="eastAsia" w:ascii="仿宋_GB2312" w:eastAsia="仿宋_GB2312" w:hAnsiTheme="minorHAnsi" w:cstheme="minorBidi"/>
          <w:b w:val="0"/>
          <w:bCs w:val="0"/>
          <w:kern w:val="2"/>
          <w:sz w:val="30"/>
          <w:szCs w:val="30"/>
          <w:lang w:val="en-US" w:eastAsia="zh-CN" w:bidi="ar-SA"/>
        </w:rPr>
      </w:pPr>
      <w:r>
        <w:rPr>
          <w:rFonts w:hint="eastAsia" w:ascii="仿宋_GB2312" w:eastAsia="仿宋_GB2312" w:cstheme="minorBidi"/>
          <w:b w:val="0"/>
          <w:bCs w:val="0"/>
          <w:kern w:val="2"/>
          <w:sz w:val="30"/>
          <w:szCs w:val="30"/>
          <w:lang w:val="en-US" w:eastAsia="zh-CN" w:bidi="ar-SA"/>
        </w:rPr>
        <w:t>3</w:t>
      </w:r>
      <w:r>
        <w:rPr>
          <w:rFonts w:hint="eastAsia" w:ascii="仿宋_GB2312" w:eastAsia="仿宋_GB2312" w:hAnsiTheme="minorHAnsi" w:cstheme="minorBidi"/>
          <w:b w:val="0"/>
          <w:bCs w:val="0"/>
          <w:kern w:val="2"/>
          <w:sz w:val="30"/>
          <w:szCs w:val="30"/>
          <w:lang w:val="en-US" w:eastAsia="zh-CN" w:bidi="ar-SA"/>
        </w:rPr>
        <w:t>.3技术得分</w:t>
      </w:r>
    </w:p>
    <w:tbl>
      <w:tblPr>
        <w:tblStyle w:val="10"/>
        <w:tblW w:w="8008" w:type="dxa"/>
        <w:tblInd w:w="292" w:type="dxa"/>
        <w:tblLayout w:type="fixed"/>
        <w:tblCellMar>
          <w:top w:w="0" w:type="dxa"/>
          <w:left w:w="108" w:type="dxa"/>
          <w:bottom w:w="0" w:type="dxa"/>
          <w:right w:w="108" w:type="dxa"/>
        </w:tblCellMar>
      </w:tblPr>
      <w:tblGrid>
        <w:gridCol w:w="1348"/>
        <w:gridCol w:w="850"/>
        <w:gridCol w:w="5810"/>
      </w:tblGrid>
      <w:tr>
        <w:tblPrEx>
          <w:tblCellMar>
            <w:top w:w="0" w:type="dxa"/>
            <w:left w:w="108" w:type="dxa"/>
            <w:bottom w:w="0" w:type="dxa"/>
            <w:right w:w="108" w:type="dxa"/>
          </w:tblCellMar>
        </w:tblPrEx>
        <w:trPr>
          <w:trHeight w:val="663" w:hRule="atLeast"/>
        </w:trPr>
        <w:tc>
          <w:tcPr>
            <w:tcW w:w="1348"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ascii="仿宋_GB2312" w:hAnsi="仿宋" w:eastAsia="仿宋_GB2312"/>
                <w:b/>
                <w:color w:val="000000"/>
                <w:sz w:val="24"/>
                <w:szCs w:val="24"/>
                <w:lang w:val="zh-CN"/>
              </w:rPr>
            </w:pPr>
            <w:r>
              <w:rPr>
                <w:rFonts w:ascii="仿宋_GB2312" w:hAnsi="仿宋" w:eastAsia="仿宋_GB2312"/>
                <w:b/>
                <w:color w:val="000000"/>
                <w:sz w:val="24"/>
                <w:szCs w:val="24"/>
                <w:lang w:val="zh-CN"/>
              </w:rPr>
              <w:t>评审项目</w:t>
            </w:r>
          </w:p>
        </w:tc>
        <w:tc>
          <w:tcPr>
            <w:tcW w:w="850"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ascii="仿宋_GB2312" w:hAnsi="仿宋" w:eastAsia="仿宋_GB2312"/>
                <w:b/>
                <w:color w:val="000000"/>
                <w:sz w:val="24"/>
                <w:szCs w:val="24"/>
                <w:lang w:val="zh-CN"/>
              </w:rPr>
            </w:pPr>
            <w:r>
              <w:rPr>
                <w:rFonts w:ascii="仿宋_GB2312" w:hAnsi="仿宋" w:eastAsia="仿宋_GB2312"/>
                <w:b/>
                <w:color w:val="000000"/>
                <w:sz w:val="24"/>
                <w:szCs w:val="24"/>
                <w:lang w:val="zh-CN"/>
              </w:rPr>
              <w:t>分值</w:t>
            </w:r>
          </w:p>
        </w:tc>
        <w:tc>
          <w:tcPr>
            <w:tcW w:w="5810"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ascii="仿宋_GB2312" w:hAnsi="仿宋" w:eastAsia="仿宋_GB2312"/>
                <w:b/>
                <w:color w:val="000000"/>
                <w:sz w:val="24"/>
                <w:szCs w:val="24"/>
                <w:lang w:val="zh-CN"/>
              </w:rPr>
            </w:pPr>
            <w:r>
              <w:rPr>
                <w:rFonts w:ascii="仿宋_GB2312" w:hAnsi="仿宋" w:eastAsia="仿宋_GB2312"/>
                <w:b/>
                <w:color w:val="000000"/>
                <w:sz w:val="24"/>
                <w:szCs w:val="24"/>
                <w:lang w:val="zh-CN"/>
              </w:rPr>
              <w:t>评分标准</w:t>
            </w:r>
          </w:p>
        </w:tc>
      </w:tr>
      <w:tr>
        <w:tblPrEx>
          <w:tblCellMar>
            <w:top w:w="0" w:type="dxa"/>
            <w:left w:w="108" w:type="dxa"/>
            <w:bottom w:w="0" w:type="dxa"/>
            <w:right w:w="108" w:type="dxa"/>
          </w:tblCellMar>
        </w:tblPrEx>
        <w:trPr>
          <w:trHeight w:val="1179" w:hRule="atLeast"/>
        </w:trPr>
        <w:tc>
          <w:tcPr>
            <w:tcW w:w="1348" w:type="dxa"/>
            <w:tcBorders>
              <w:top w:val="single" w:color="auto" w:sz="4" w:space="0"/>
              <w:left w:val="single" w:color="auto" w:sz="4" w:space="0"/>
              <w:bottom w:val="single" w:color="auto" w:sz="4" w:space="0"/>
              <w:right w:val="single" w:color="auto" w:sz="6" w:space="0"/>
            </w:tcBorders>
            <w:noWrap w:val="0"/>
            <w:vAlign w:val="center"/>
          </w:tcPr>
          <w:p>
            <w:pPr>
              <w:wordWrap w:val="0"/>
              <w:autoSpaceDE w:val="0"/>
              <w:autoSpaceDN w:val="0"/>
              <w:snapToGrid w:val="0"/>
              <w:jc w:val="center"/>
              <w:rPr>
                <w:rFonts w:hint="eastAsia" w:ascii="仿宋_GB2312" w:hAnsi="仿宋" w:eastAsia="仿宋_GB2312"/>
                <w:color w:val="000000"/>
                <w:sz w:val="24"/>
                <w:szCs w:val="24"/>
                <w:lang w:val="zh-CN" w:eastAsia="zh-CN"/>
              </w:rPr>
            </w:pPr>
            <w:r>
              <w:rPr>
                <w:rFonts w:hint="eastAsia" w:ascii="仿宋_GB2312" w:hAnsi="宋体" w:eastAsia="仿宋_GB2312"/>
                <w:sz w:val="24"/>
                <w:szCs w:val="24"/>
                <w:lang w:eastAsia="zh-CN"/>
              </w:rPr>
              <w:t>方案</w:t>
            </w:r>
          </w:p>
        </w:tc>
        <w:tc>
          <w:tcPr>
            <w:tcW w:w="850"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snapToGrid w:val="0"/>
              <w:jc w:val="center"/>
              <w:rPr>
                <w:rFonts w:hint="default" w:ascii="仿宋_GB2312" w:hAnsi="仿宋" w:eastAsia="仿宋_GB2312"/>
                <w:color w:val="000000"/>
                <w:sz w:val="24"/>
                <w:szCs w:val="24"/>
                <w:lang w:val="en-US" w:eastAsia="zh-CN"/>
              </w:rPr>
            </w:pPr>
            <w:r>
              <w:rPr>
                <w:rFonts w:hint="eastAsia" w:ascii="仿宋_GB2312" w:hAnsi="仿宋" w:eastAsia="仿宋_GB2312"/>
                <w:color w:val="000000"/>
                <w:sz w:val="24"/>
                <w:szCs w:val="24"/>
                <w:lang w:val="en-US" w:eastAsia="zh-CN"/>
              </w:rPr>
              <w:t>25</w:t>
            </w:r>
          </w:p>
        </w:tc>
        <w:tc>
          <w:tcPr>
            <w:tcW w:w="5810" w:type="dxa"/>
            <w:tcBorders>
              <w:top w:val="single" w:color="auto" w:sz="6" w:space="0"/>
              <w:left w:val="single" w:color="auto" w:sz="6" w:space="0"/>
              <w:bottom w:val="single" w:color="auto" w:sz="6" w:space="0"/>
              <w:right w:val="single" w:color="auto" w:sz="6" w:space="0"/>
            </w:tcBorders>
            <w:noWrap w:val="0"/>
            <w:vAlign w:val="center"/>
          </w:tcPr>
          <w:p>
            <w:pPr>
              <w:wordWrap/>
              <w:autoSpaceDE w:val="0"/>
              <w:autoSpaceDN w:val="0"/>
              <w:snapToGrid w:val="0"/>
              <w:spacing w:line="360" w:lineRule="exact"/>
              <w:rPr>
                <w:rFonts w:hint="eastAsia" w:ascii="仿宋_GB2312" w:hAnsi="宋体" w:eastAsia="仿宋_GB2312"/>
                <w:sz w:val="24"/>
                <w:szCs w:val="24"/>
                <w:lang w:val="zh-CN"/>
              </w:rPr>
            </w:pPr>
            <w:r>
              <w:rPr>
                <w:rFonts w:hint="eastAsia" w:ascii="仿宋_GB2312" w:hAnsi="宋体" w:eastAsia="仿宋_GB2312"/>
                <w:sz w:val="24"/>
                <w:szCs w:val="24"/>
                <w:lang w:val="zh-CN" w:eastAsia="zh-CN"/>
              </w:rPr>
              <w:t>1、提供施工方案的，得</w:t>
            </w:r>
            <w:r>
              <w:rPr>
                <w:rFonts w:hint="eastAsia" w:ascii="仿宋_GB2312" w:hAnsi="宋体" w:eastAsia="仿宋_GB2312"/>
                <w:sz w:val="24"/>
                <w:szCs w:val="24"/>
                <w:lang w:val="en-US" w:eastAsia="zh-CN"/>
              </w:rPr>
              <w:t>2</w:t>
            </w:r>
            <w:r>
              <w:rPr>
                <w:rFonts w:hint="eastAsia" w:ascii="仿宋_GB2312" w:hAnsi="宋体" w:eastAsia="仿宋_GB2312"/>
                <w:sz w:val="24"/>
                <w:szCs w:val="24"/>
                <w:lang w:val="zh-CN" w:eastAsia="zh-CN"/>
              </w:rPr>
              <w:t>分</w:t>
            </w:r>
            <w:r>
              <w:rPr>
                <w:rFonts w:hint="eastAsia" w:ascii="仿宋_GB2312" w:hAnsi="宋体" w:eastAsia="仿宋_GB2312"/>
                <w:sz w:val="24"/>
                <w:szCs w:val="24"/>
                <w:lang w:val="zh-CN"/>
              </w:rPr>
              <w:t>；</w:t>
            </w:r>
          </w:p>
          <w:p>
            <w:pPr>
              <w:wordWrap/>
              <w:autoSpaceDE w:val="0"/>
              <w:autoSpaceDN w:val="0"/>
              <w:snapToGrid w:val="0"/>
              <w:spacing w:line="360" w:lineRule="exact"/>
              <w:rPr>
                <w:rFonts w:hint="eastAsia" w:ascii="仿宋_GB2312" w:hAnsi="宋体" w:eastAsia="仿宋_GB2312"/>
                <w:sz w:val="24"/>
                <w:szCs w:val="24"/>
                <w:lang w:val="zh-CN"/>
              </w:rPr>
            </w:pPr>
            <w:r>
              <w:rPr>
                <w:rFonts w:hint="eastAsia" w:ascii="仿宋_GB2312" w:hAnsi="宋体" w:eastAsia="仿宋_GB2312"/>
                <w:sz w:val="24"/>
                <w:szCs w:val="24"/>
                <w:lang w:val="zh-CN" w:eastAsia="zh-CN"/>
              </w:rPr>
              <w:t>施工方案详述</w:t>
            </w:r>
            <w:r>
              <w:rPr>
                <w:rFonts w:hint="eastAsia" w:ascii="仿宋_GB2312" w:hAnsi="宋体" w:eastAsia="仿宋_GB2312" w:cstheme="minorBidi"/>
                <w:kern w:val="2"/>
                <w:sz w:val="24"/>
                <w:szCs w:val="24"/>
                <w:u w:val="none"/>
                <w:lang w:val="zh-CN" w:eastAsia="zh-CN"/>
              </w:rPr>
              <w:t>离心机配重块建设及基座改造施工方式方法</w:t>
            </w:r>
            <w:r>
              <w:rPr>
                <w:rFonts w:hint="eastAsia" w:ascii="仿宋_GB2312" w:hAnsi="宋体" w:eastAsia="仿宋_GB2312"/>
                <w:sz w:val="24"/>
                <w:szCs w:val="24"/>
                <w:lang w:val="zh-CN" w:eastAsia="zh-CN"/>
              </w:rPr>
              <w:t>且方案全面、可行的，</w:t>
            </w:r>
            <w:r>
              <w:rPr>
                <w:rFonts w:hint="eastAsia" w:ascii="仿宋_GB2312" w:hAnsi="宋体" w:eastAsia="仿宋_GB2312"/>
                <w:sz w:val="24"/>
                <w:szCs w:val="24"/>
                <w:lang w:val="zh-CN"/>
              </w:rPr>
              <w:t>评委根据</w:t>
            </w:r>
            <w:r>
              <w:rPr>
                <w:rFonts w:hint="eastAsia" w:ascii="仿宋_GB2312" w:hAnsi="宋体" w:eastAsia="仿宋_GB2312"/>
                <w:sz w:val="24"/>
                <w:szCs w:val="24"/>
                <w:lang w:val="zh-CN" w:eastAsia="zh-CN"/>
              </w:rPr>
              <w:t>文件</w:t>
            </w:r>
            <w:r>
              <w:rPr>
                <w:rFonts w:hint="eastAsia" w:ascii="仿宋_GB2312" w:hAnsi="宋体" w:eastAsia="仿宋_GB2312"/>
                <w:sz w:val="24"/>
                <w:szCs w:val="24"/>
                <w:lang w:val="zh-CN"/>
              </w:rPr>
              <w:t>情况酌情得0-</w:t>
            </w:r>
            <w:r>
              <w:rPr>
                <w:rFonts w:hint="eastAsia" w:ascii="仿宋_GB2312" w:hAnsi="宋体" w:eastAsia="仿宋_GB2312"/>
                <w:sz w:val="24"/>
                <w:szCs w:val="24"/>
                <w:lang w:val="zh-CN" w:eastAsia="zh-CN"/>
              </w:rPr>
              <w:t>1</w:t>
            </w:r>
            <w:r>
              <w:rPr>
                <w:rFonts w:hint="eastAsia" w:ascii="仿宋_GB2312" w:hAnsi="宋体" w:eastAsia="仿宋_GB2312"/>
                <w:sz w:val="24"/>
                <w:szCs w:val="24"/>
                <w:lang w:val="en-US" w:eastAsia="zh-CN"/>
              </w:rPr>
              <w:t>5</w:t>
            </w:r>
            <w:r>
              <w:rPr>
                <w:rFonts w:hint="eastAsia" w:ascii="仿宋_GB2312" w:hAnsi="宋体" w:eastAsia="仿宋_GB2312"/>
                <w:sz w:val="24"/>
                <w:szCs w:val="24"/>
                <w:lang w:val="zh-CN"/>
              </w:rPr>
              <w:t>分</w:t>
            </w:r>
            <w:r>
              <w:rPr>
                <w:rFonts w:hint="eastAsia" w:ascii="仿宋_GB2312" w:hAnsi="宋体" w:eastAsia="仿宋_GB2312"/>
                <w:sz w:val="24"/>
                <w:szCs w:val="24"/>
                <w:lang w:val="zh-CN" w:eastAsia="zh-CN"/>
              </w:rPr>
              <w:t>。</w:t>
            </w:r>
          </w:p>
          <w:p>
            <w:pPr>
              <w:wordWrap/>
              <w:autoSpaceDE w:val="0"/>
              <w:autoSpaceDN w:val="0"/>
              <w:snapToGrid w:val="0"/>
              <w:spacing w:line="360" w:lineRule="exact"/>
              <w:rPr>
                <w:rFonts w:hint="eastAsia" w:ascii="仿宋_GB2312" w:hAnsi="宋体" w:eastAsia="仿宋_GB2312"/>
                <w:sz w:val="24"/>
                <w:szCs w:val="24"/>
                <w:lang w:val="zh-CN" w:eastAsia="zh-CN"/>
              </w:rPr>
            </w:pPr>
            <w:r>
              <w:rPr>
                <w:rFonts w:hint="eastAsia" w:ascii="仿宋_GB2312" w:hAnsi="宋体" w:eastAsia="仿宋_GB2312"/>
                <w:sz w:val="24"/>
                <w:szCs w:val="24"/>
                <w:lang w:val="zh-CN" w:eastAsia="zh-CN"/>
              </w:rPr>
              <w:t>若此条缺项不得分；</w:t>
            </w:r>
          </w:p>
          <w:p>
            <w:pPr>
              <w:wordWrap/>
              <w:autoSpaceDE w:val="0"/>
              <w:autoSpaceDN w:val="0"/>
              <w:snapToGrid w:val="0"/>
              <w:spacing w:line="360" w:lineRule="exact"/>
              <w:rPr>
                <w:rFonts w:hint="eastAsia" w:ascii="仿宋_GB2312" w:hAnsi="宋体" w:eastAsia="仿宋_GB2312"/>
                <w:sz w:val="24"/>
                <w:szCs w:val="24"/>
                <w:lang w:val="zh-CN" w:eastAsia="zh-CN"/>
              </w:rPr>
            </w:pPr>
            <w:r>
              <w:rPr>
                <w:rFonts w:hint="eastAsia" w:ascii="仿宋_GB2312" w:hAnsi="宋体" w:eastAsia="仿宋_GB2312"/>
                <w:sz w:val="24"/>
                <w:szCs w:val="24"/>
                <w:lang w:val="zh-CN" w:eastAsia="zh-CN"/>
              </w:rPr>
              <w:t>2、提供安全施工方案的，得2分；</w:t>
            </w:r>
          </w:p>
          <w:p>
            <w:pPr>
              <w:autoSpaceDE w:val="0"/>
              <w:autoSpaceDN w:val="0"/>
              <w:snapToGrid w:val="0"/>
              <w:spacing w:line="360" w:lineRule="exact"/>
              <w:rPr>
                <w:rFonts w:hint="eastAsia" w:ascii="仿宋_GB2312" w:hAnsi="宋体" w:eastAsia="仿宋_GB2312"/>
                <w:sz w:val="24"/>
                <w:szCs w:val="24"/>
                <w:lang w:val="zh-CN" w:eastAsia="zh-CN"/>
              </w:rPr>
            </w:pPr>
            <w:r>
              <w:rPr>
                <w:rFonts w:hint="eastAsia" w:ascii="仿宋_GB2312" w:hAnsi="宋体" w:eastAsia="仿宋_GB2312"/>
                <w:sz w:val="24"/>
                <w:szCs w:val="24"/>
                <w:lang w:val="zh-CN" w:eastAsia="zh-CN"/>
              </w:rPr>
              <w:t>安全施工方案详述高处施工防护措施、安全施工措施、运输保障措施、现场环境保护措施等内容且方案全面、合理的，</w:t>
            </w:r>
            <w:r>
              <w:rPr>
                <w:rFonts w:hint="eastAsia" w:ascii="仿宋_GB2312" w:hAnsi="宋体" w:eastAsia="仿宋_GB2312"/>
                <w:sz w:val="24"/>
                <w:szCs w:val="24"/>
                <w:lang w:val="zh-CN"/>
              </w:rPr>
              <w:t>评委根据</w:t>
            </w:r>
            <w:r>
              <w:rPr>
                <w:rFonts w:hint="eastAsia" w:ascii="仿宋_GB2312" w:hAnsi="宋体" w:eastAsia="仿宋_GB2312"/>
                <w:sz w:val="24"/>
                <w:szCs w:val="24"/>
                <w:lang w:val="zh-CN" w:eastAsia="zh-CN"/>
              </w:rPr>
              <w:t>文件</w:t>
            </w:r>
            <w:r>
              <w:rPr>
                <w:rFonts w:hint="eastAsia" w:ascii="仿宋_GB2312" w:hAnsi="宋体" w:eastAsia="仿宋_GB2312"/>
                <w:sz w:val="24"/>
                <w:szCs w:val="24"/>
                <w:lang w:val="zh-CN"/>
              </w:rPr>
              <w:t>情况酌情得0-</w:t>
            </w:r>
            <w:r>
              <w:rPr>
                <w:rFonts w:hint="eastAsia" w:ascii="仿宋_GB2312" w:hAnsi="宋体" w:eastAsia="仿宋_GB2312"/>
                <w:sz w:val="24"/>
                <w:szCs w:val="24"/>
                <w:lang w:val="zh-CN" w:eastAsia="zh-CN"/>
              </w:rPr>
              <w:t>5</w:t>
            </w:r>
            <w:r>
              <w:rPr>
                <w:rFonts w:hint="eastAsia" w:ascii="仿宋_GB2312" w:hAnsi="宋体" w:eastAsia="仿宋_GB2312"/>
                <w:sz w:val="24"/>
                <w:szCs w:val="24"/>
                <w:lang w:val="zh-CN"/>
              </w:rPr>
              <w:t>分</w:t>
            </w:r>
            <w:r>
              <w:rPr>
                <w:rFonts w:hint="eastAsia" w:ascii="仿宋_GB2312" w:hAnsi="宋体" w:eastAsia="仿宋_GB2312"/>
                <w:sz w:val="24"/>
                <w:szCs w:val="24"/>
                <w:lang w:val="zh-CN" w:eastAsia="zh-CN"/>
              </w:rPr>
              <w:t>。</w:t>
            </w:r>
          </w:p>
          <w:p>
            <w:pPr>
              <w:wordWrap/>
              <w:autoSpaceDE w:val="0"/>
              <w:autoSpaceDN w:val="0"/>
              <w:snapToGrid w:val="0"/>
              <w:spacing w:line="360" w:lineRule="exact"/>
              <w:rPr>
                <w:rFonts w:hint="eastAsia" w:ascii="仿宋_GB2312" w:hAnsi="宋体" w:eastAsia="仿宋_GB2312"/>
                <w:sz w:val="24"/>
                <w:szCs w:val="24"/>
                <w:lang w:val="zh-CN" w:eastAsia="zh-CN"/>
              </w:rPr>
            </w:pPr>
            <w:r>
              <w:rPr>
                <w:rFonts w:hint="eastAsia" w:ascii="仿宋_GB2312" w:hAnsi="宋体" w:eastAsia="仿宋_GB2312"/>
                <w:sz w:val="24"/>
                <w:szCs w:val="24"/>
                <w:lang w:val="zh-CN" w:eastAsia="zh-CN"/>
              </w:rPr>
              <w:t>若此条缺项不得分；</w:t>
            </w:r>
          </w:p>
          <w:p>
            <w:pPr>
              <w:wordWrap/>
              <w:autoSpaceDE w:val="0"/>
              <w:autoSpaceDN w:val="0"/>
              <w:snapToGrid w:val="0"/>
              <w:spacing w:line="360" w:lineRule="exact"/>
              <w:rPr>
                <w:rFonts w:hint="eastAsia" w:ascii="仿宋_GB2312" w:hAnsi="宋体" w:eastAsia="仿宋_GB2312"/>
                <w:sz w:val="24"/>
                <w:szCs w:val="24"/>
                <w:lang w:val="zh-CN" w:eastAsia="zh-CN"/>
              </w:rPr>
            </w:pPr>
            <w:r>
              <w:rPr>
                <w:rFonts w:hint="eastAsia" w:ascii="仿宋_GB2312" w:hAnsi="宋体" w:eastAsia="仿宋_GB2312"/>
                <w:sz w:val="24"/>
                <w:szCs w:val="24"/>
                <w:lang w:val="en-US" w:eastAsia="zh-CN"/>
              </w:rPr>
              <w:t>3、</w:t>
            </w:r>
            <w:r>
              <w:rPr>
                <w:rFonts w:hint="eastAsia" w:ascii="仿宋_GB2312" w:hAnsi="宋体" w:eastAsia="仿宋_GB2312"/>
                <w:sz w:val="24"/>
                <w:szCs w:val="24"/>
                <w:lang w:val="zh-CN" w:eastAsia="zh-CN"/>
              </w:rPr>
              <w:t>提供施工总进度计划及保障措施的，得</w:t>
            </w:r>
            <w:r>
              <w:rPr>
                <w:rFonts w:hint="eastAsia" w:ascii="仿宋_GB2312" w:hAnsi="宋体" w:eastAsia="仿宋_GB2312"/>
                <w:sz w:val="24"/>
                <w:szCs w:val="24"/>
                <w:lang w:val="en-US" w:eastAsia="zh-CN"/>
              </w:rPr>
              <w:t>1</w:t>
            </w:r>
            <w:r>
              <w:rPr>
                <w:rFonts w:hint="eastAsia" w:ascii="仿宋_GB2312" w:hAnsi="宋体" w:eastAsia="仿宋_GB2312"/>
                <w:sz w:val="24"/>
                <w:szCs w:val="24"/>
                <w:lang w:val="zh-CN" w:eastAsia="zh-CN"/>
              </w:rPr>
              <w:t>分；</w:t>
            </w:r>
          </w:p>
          <w:p>
            <w:pPr>
              <w:autoSpaceDE w:val="0"/>
              <w:autoSpaceDN w:val="0"/>
              <w:snapToGrid w:val="0"/>
              <w:spacing w:line="360" w:lineRule="exact"/>
              <w:rPr>
                <w:rFonts w:hint="eastAsia"/>
                <w:lang w:val="zh-CN" w:eastAsia="zh-CN"/>
              </w:rPr>
            </w:pPr>
            <w:r>
              <w:rPr>
                <w:rFonts w:hint="eastAsia" w:ascii="仿宋_GB2312" w:hAnsi="宋体" w:eastAsia="仿宋_GB2312"/>
                <w:sz w:val="24"/>
                <w:szCs w:val="24"/>
                <w:lang w:val="zh-CN" w:eastAsia="zh-CN"/>
              </w:rPr>
              <w:t>若此条缺项不得分；</w:t>
            </w:r>
          </w:p>
        </w:tc>
      </w:tr>
    </w:tbl>
    <w:p>
      <w:pPr>
        <w:ind w:firstLine="640" w:firstLineChars="200"/>
        <w:rPr>
          <w:rFonts w:ascii="黑体" w:hAnsi="黑体" w:eastAsia="黑体" w:cs="Times New Roman"/>
          <w:sz w:val="32"/>
          <w:szCs w:val="32"/>
        </w:rPr>
      </w:pPr>
      <w:r>
        <w:rPr>
          <w:rFonts w:hint="eastAsia" w:ascii="黑体" w:hAnsi="黑体" w:eastAsia="黑体" w:cs="Times New Roman"/>
          <w:sz w:val="32"/>
          <w:szCs w:val="32"/>
        </w:rPr>
        <w:t>五、中标人的确定</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通过审查、考核、评比，评标委员会按照供应商的综合得分多少由高到低进行排序，并形成评标报告,采购人根据评标委员会提出的书面评标报告和推荐的中标候选人经核查合格后确定中标人。</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排名第一的中标候选人放弃中标、因不可抗力不能履行合同、或者被查实存在影响中标结果的违法行为等情形，不符合中标条件的，</w:t>
      </w:r>
      <w:r>
        <w:rPr>
          <w:rFonts w:hint="eastAsia" w:ascii="仿宋_GB2312" w:hAnsi="Times New Roman" w:eastAsia="仿宋_GB2312" w:cs="Times New Roman"/>
          <w:sz w:val="32"/>
          <w:szCs w:val="32"/>
          <w:lang w:eastAsia="zh-CN"/>
        </w:rPr>
        <w:t>采购人</w:t>
      </w:r>
      <w:r>
        <w:rPr>
          <w:rFonts w:hint="eastAsia" w:ascii="仿宋_GB2312" w:hAnsi="Times New Roman" w:eastAsia="仿宋_GB2312" w:cs="Times New Roman"/>
          <w:sz w:val="32"/>
          <w:szCs w:val="32"/>
        </w:rPr>
        <w:t>可以按照评标委员会提出的中标候选人名单排序依次确定其他中标候选人为中标人，也可以重新招标。</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六、评标纪律</w:t>
      </w:r>
    </w:p>
    <w:p>
      <w:pPr>
        <w:ind w:firstLine="636" w:firstLineChars="200"/>
        <w:rPr>
          <w:rFonts w:ascii="仿宋_GB2312" w:hAnsi="Times New Roman" w:eastAsia="仿宋_GB2312" w:cs="Times New Roman"/>
          <w:sz w:val="32"/>
          <w:szCs w:val="32"/>
        </w:rPr>
      </w:pPr>
      <w:r>
        <w:rPr>
          <w:rFonts w:hint="eastAsia" w:ascii="仿宋_GB2312" w:hAnsi="Times New Roman" w:eastAsia="仿宋_GB2312" w:cs="Times New Roman"/>
          <w:spacing w:val="-1"/>
          <w:sz w:val="32"/>
          <w:szCs w:val="32"/>
        </w:rPr>
        <w:t>（一）</w:t>
      </w:r>
      <w:r>
        <w:rPr>
          <w:rFonts w:hint="eastAsia" w:ascii="仿宋_GB2312" w:hAnsi="Times New Roman" w:eastAsia="仿宋_GB2312" w:cs="Times New Roman"/>
          <w:spacing w:val="-10"/>
          <w:sz w:val="32"/>
          <w:szCs w:val="32"/>
        </w:rPr>
        <w:t>评标是招标工作的重要环节，评标工作在评标委员会内独立进行。评标</w:t>
      </w:r>
      <w:r>
        <w:rPr>
          <w:rFonts w:hint="eastAsia" w:ascii="仿宋_GB2312" w:hAnsi="Times New Roman" w:eastAsia="仿宋_GB2312" w:cs="Times New Roman"/>
          <w:spacing w:val="-4"/>
          <w:sz w:val="32"/>
          <w:szCs w:val="32"/>
        </w:rPr>
        <w:t>委员会将按照评标原则的要求，公正、平等地对待所有供应商。</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（二）所有评标人员应忠于职守、廉洁自律、秉公办事、不徇私情。</w:t>
      </w:r>
    </w:p>
    <w:p>
      <w:pPr>
        <w:ind w:firstLine="636" w:firstLineChars="200"/>
        <w:rPr>
          <w:rFonts w:ascii="仿宋_GB2312" w:hAnsi="Times New Roman" w:eastAsia="仿宋_GB2312" w:cs="Times New Roman"/>
          <w:sz w:val="32"/>
          <w:szCs w:val="32"/>
        </w:rPr>
      </w:pPr>
      <w:r>
        <w:rPr>
          <w:rFonts w:hint="eastAsia" w:ascii="仿宋_GB2312" w:hAnsi="Times New Roman" w:eastAsia="仿宋_GB2312" w:cs="Times New Roman"/>
          <w:spacing w:val="-1"/>
          <w:sz w:val="32"/>
          <w:szCs w:val="32"/>
        </w:rPr>
        <w:t>（三）</w:t>
      </w:r>
      <w:r>
        <w:rPr>
          <w:rFonts w:hint="eastAsia" w:ascii="仿宋_GB2312" w:hAnsi="Times New Roman" w:eastAsia="仿宋_GB2312" w:cs="Times New Roman"/>
          <w:spacing w:val="-10"/>
          <w:sz w:val="32"/>
          <w:szCs w:val="32"/>
        </w:rPr>
        <w:t>评标人员不得接受或参加供应商或与投标有关的单位、组织或个人的有</w:t>
      </w:r>
      <w:r>
        <w:rPr>
          <w:rFonts w:hint="eastAsia" w:ascii="仿宋_GB2312" w:hAnsi="Times New Roman" w:eastAsia="仿宋_GB2312" w:cs="Times New Roman"/>
          <w:spacing w:val="-4"/>
          <w:sz w:val="32"/>
          <w:szCs w:val="32"/>
        </w:rPr>
        <w:t>碍公务的宴请、娱乐活动等，不得以任何形式弄虚作假。</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（四）评标期间，评委不得随意与外界通讯、会客等。</w:t>
      </w:r>
    </w:p>
    <w:p>
      <w:pPr>
        <w:ind w:firstLine="636" w:firstLineChars="200"/>
        <w:rPr>
          <w:rFonts w:ascii="仿宋_GB2312" w:hAnsi="Times New Roman" w:eastAsia="仿宋_GB2312" w:cs="Times New Roman"/>
          <w:sz w:val="32"/>
          <w:szCs w:val="32"/>
        </w:rPr>
      </w:pPr>
      <w:r>
        <w:rPr>
          <w:rFonts w:hint="eastAsia" w:ascii="仿宋_GB2312" w:hAnsi="Times New Roman" w:eastAsia="仿宋_GB2312" w:cs="Times New Roman"/>
          <w:spacing w:val="-1"/>
          <w:sz w:val="32"/>
          <w:szCs w:val="32"/>
        </w:rPr>
        <w:t>（五）</w:t>
      </w:r>
      <w:r>
        <w:rPr>
          <w:rFonts w:hint="eastAsia" w:ascii="仿宋_GB2312" w:hAnsi="Times New Roman" w:eastAsia="仿宋_GB2312" w:cs="Times New Roman"/>
          <w:spacing w:val="-11"/>
          <w:sz w:val="32"/>
          <w:szCs w:val="32"/>
        </w:rPr>
        <w:t>在投标文件的审查、澄清、评价和比较以及授予合同的过程中，供应商</w:t>
      </w:r>
      <w:r>
        <w:rPr>
          <w:rFonts w:hint="eastAsia" w:ascii="仿宋_GB2312" w:hAnsi="Times New Roman" w:eastAsia="仿宋_GB2312" w:cs="Times New Roman"/>
          <w:spacing w:val="-5"/>
          <w:sz w:val="32"/>
          <w:szCs w:val="32"/>
        </w:rPr>
        <w:t>对采购人及评标委员会其他成员施加影响的任何行为，都将导致被取消投标资格。</w:t>
      </w:r>
    </w:p>
    <w:p>
      <w:pPr>
        <w:ind w:firstLine="636" w:firstLineChars="200"/>
        <w:rPr>
          <w:rFonts w:ascii="仿宋_GB2312" w:hAnsi="Times New Roman" w:eastAsia="仿宋_GB2312" w:cs="Times New Roman"/>
          <w:sz w:val="32"/>
          <w:szCs w:val="32"/>
        </w:rPr>
      </w:pPr>
      <w:r>
        <w:rPr>
          <w:rFonts w:hint="eastAsia" w:ascii="仿宋_GB2312" w:hAnsi="Times New Roman" w:eastAsia="仿宋_GB2312" w:cs="Times New Roman"/>
          <w:spacing w:val="-1"/>
          <w:sz w:val="32"/>
          <w:szCs w:val="32"/>
        </w:rPr>
        <w:t>（六）</w:t>
      </w:r>
      <w:r>
        <w:rPr>
          <w:rFonts w:hint="eastAsia" w:ascii="仿宋_GB2312" w:hAnsi="Times New Roman" w:eastAsia="仿宋_GB2312" w:cs="Times New Roman"/>
          <w:spacing w:val="-12"/>
          <w:sz w:val="32"/>
          <w:szCs w:val="32"/>
        </w:rPr>
        <w:t>为保证定标的公正性，在评标过程中，评委不得与供应商或招标结果有</w:t>
      </w:r>
      <w:r>
        <w:rPr>
          <w:rFonts w:hint="eastAsia" w:ascii="仿宋_GB2312" w:hAnsi="Times New Roman" w:eastAsia="仿宋_GB2312" w:cs="Times New Roman"/>
          <w:spacing w:val="-5"/>
          <w:sz w:val="32"/>
          <w:szCs w:val="32"/>
        </w:rPr>
        <w:t>利害关系的人进行私下接触。在评标工作结束后，凡与评标情况有接触的任何</w:t>
      </w:r>
      <w:r>
        <w:rPr>
          <w:rFonts w:hint="eastAsia" w:ascii="仿宋_GB2312" w:hAnsi="Times New Roman" w:eastAsia="仿宋_GB2312" w:cs="Times New Roman"/>
          <w:spacing w:val="-3"/>
          <w:sz w:val="32"/>
          <w:szCs w:val="32"/>
        </w:rPr>
        <w:t>人，不得将评标情况扩散出评标委员会以外。</w:t>
      </w:r>
    </w:p>
    <w:p>
      <w:pPr>
        <w:ind w:firstLine="636" w:firstLineChars="200"/>
        <w:rPr>
          <w:rFonts w:ascii="仿宋_GB2312" w:hAnsi="Times New Roman" w:eastAsia="仿宋_GB2312" w:cs="Times New Roman"/>
          <w:sz w:val="32"/>
          <w:szCs w:val="32"/>
        </w:rPr>
      </w:pPr>
      <w:r>
        <w:rPr>
          <w:rFonts w:hint="eastAsia" w:ascii="仿宋_GB2312" w:hAnsi="Times New Roman" w:eastAsia="仿宋_GB2312" w:cs="Times New Roman"/>
          <w:spacing w:val="-1"/>
          <w:sz w:val="32"/>
          <w:szCs w:val="32"/>
        </w:rPr>
        <w:t>（七）</w:t>
      </w:r>
      <w:r>
        <w:rPr>
          <w:rFonts w:hint="eastAsia" w:ascii="仿宋_GB2312" w:hAnsi="Times New Roman" w:eastAsia="仿宋_GB2312" w:cs="Times New Roman"/>
          <w:spacing w:val="-11"/>
          <w:sz w:val="32"/>
          <w:szCs w:val="32"/>
        </w:rPr>
        <w:t>评标结束后，各评标人员应将全部资料整理上交采购人，严禁将评标过</w:t>
      </w:r>
      <w:r>
        <w:rPr>
          <w:rFonts w:hint="eastAsia" w:ascii="仿宋_GB2312" w:hAnsi="Times New Roman" w:eastAsia="仿宋_GB2312" w:cs="Times New Roman"/>
          <w:spacing w:val="-5"/>
          <w:sz w:val="32"/>
          <w:szCs w:val="32"/>
        </w:rPr>
        <w:t>程中的任何资料带出评标现场向供应商或其他单位提供。</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（八）评标委员会对各供应商的商业秘密予以保密。</w:t>
      </w:r>
    </w:p>
    <w:p>
      <w:pPr>
        <w:ind w:firstLine="636" w:firstLineChars="200"/>
        <w:rPr>
          <w:rFonts w:ascii="仿宋_GB2312" w:hAnsi="Times New Roman" w:eastAsia="仿宋_GB2312" w:cs="Times New Roman"/>
          <w:sz w:val="32"/>
          <w:szCs w:val="32"/>
        </w:rPr>
      </w:pPr>
      <w:r>
        <w:rPr>
          <w:rFonts w:hint="eastAsia" w:ascii="仿宋_GB2312" w:hAnsi="Times New Roman" w:eastAsia="仿宋_GB2312" w:cs="Times New Roman"/>
          <w:spacing w:val="-1"/>
          <w:sz w:val="32"/>
          <w:szCs w:val="32"/>
        </w:rPr>
        <w:t>（九）</w:t>
      </w:r>
      <w:r>
        <w:rPr>
          <w:rFonts w:hint="eastAsia" w:ascii="仿宋_GB2312" w:hAnsi="Times New Roman" w:eastAsia="仿宋_GB2312" w:cs="Times New Roman"/>
          <w:spacing w:val="-10"/>
          <w:sz w:val="32"/>
          <w:szCs w:val="32"/>
        </w:rPr>
        <w:t>评标委员会成员应当客观、公正地履行职责，遵守职业道德，对所提出</w:t>
      </w:r>
      <w:r>
        <w:rPr>
          <w:rFonts w:hint="eastAsia" w:ascii="仿宋_GB2312" w:hAnsi="Times New Roman" w:eastAsia="仿宋_GB2312" w:cs="Times New Roman"/>
          <w:spacing w:val="-4"/>
          <w:sz w:val="32"/>
          <w:szCs w:val="32"/>
        </w:rPr>
        <w:t>的评审意见承担个人责任。</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（十）在整个评标过程中，供应商企图影响招标结果的任何活动，可能导致投标失败。如有违法行为，将依法追究其法律责任。</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七、中标通知书</w:t>
      </w:r>
    </w:p>
    <w:p>
      <w:pPr>
        <w:ind w:firstLine="572" w:firstLineChars="200"/>
        <w:rPr>
          <w:rFonts w:hint="eastAsia" w:ascii="仿宋_GB2312" w:hAnsi="Times New Roman" w:eastAsia="仿宋_GB2312" w:cs="Times New Roman"/>
          <w:spacing w:val="-17"/>
          <w:sz w:val="32"/>
          <w:szCs w:val="32"/>
        </w:rPr>
      </w:pPr>
      <w:r>
        <w:rPr>
          <w:rFonts w:hint="eastAsia" w:ascii="仿宋_GB2312" w:hAnsi="Times New Roman" w:eastAsia="仿宋_GB2312" w:cs="Times New Roman"/>
          <w:spacing w:val="-17"/>
          <w:sz w:val="32"/>
          <w:szCs w:val="32"/>
        </w:rPr>
        <w:t>评标结束并确定中标结果后，向中标人签发《中标通知书》。</w:t>
      </w:r>
      <w:bookmarkStart w:id="8" w:name="_bookmark4"/>
      <w:bookmarkEnd w:id="8"/>
      <w:bookmarkStart w:id="9" w:name="第五部分___授予合同"/>
      <w:bookmarkEnd w:id="9"/>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ind w:firstLine="0" w:firstLineChars="0"/>
        <w:rPr>
          <w:rFonts w:hint="eastAsia" w:ascii="仿宋_GB2312" w:hAnsi="Times New Roman" w:eastAsia="仿宋_GB2312" w:cs="Times New Roman"/>
          <w:spacing w:val="-17"/>
          <w:sz w:val="32"/>
          <w:szCs w:val="32"/>
        </w:rPr>
      </w:pPr>
    </w:p>
    <w:p>
      <w:pPr>
        <w:pStyle w:val="2"/>
        <w:ind w:left="0" w:leftChars="0" w:firstLine="0" w:firstLineChars="0"/>
        <w:rPr>
          <w:rFonts w:hint="eastAsia" w:ascii="仿宋_GB2312" w:hAnsi="Times New Roman" w:eastAsia="仿宋_GB2312" w:cs="Times New Roman"/>
          <w:spacing w:val="-17"/>
          <w:sz w:val="32"/>
          <w:szCs w:val="32"/>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pacing w:val="-17"/>
          <w:sz w:val="32"/>
          <w:szCs w:val="32"/>
          <w:lang w:val="en-US"/>
        </w:rPr>
      </w:pPr>
      <w:r>
        <w:rPr>
          <w:rFonts w:hint="eastAsia" w:ascii="仿宋_GB2312" w:hAnsi="仿宋_GB2312" w:eastAsia="仿宋_GB2312" w:cs="仿宋_GB2312"/>
          <w:sz w:val="32"/>
          <w:szCs w:val="32"/>
          <w:lang w:eastAsia="zh-CN"/>
        </w:rPr>
        <w:t>附表</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：报价单</w:t>
      </w:r>
    </w:p>
    <w:tbl>
      <w:tblPr>
        <w:tblStyle w:val="10"/>
        <w:tblpPr w:leftFromText="180" w:rightFromText="180" w:vertAnchor="text" w:horzAnchor="page" w:tblpX="1714" w:tblpY="200"/>
        <w:tblOverlap w:val="never"/>
        <w:tblW w:w="7940" w:type="dxa"/>
        <w:tblInd w:w="0" w:type="dxa"/>
        <w:shd w:val="clear" w:color="auto" w:fill="auto"/>
        <w:tblLayout w:type="fixed"/>
        <w:tblCellMar>
          <w:top w:w="0" w:type="dxa"/>
          <w:left w:w="108" w:type="dxa"/>
          <w:bottom w:w="0" w:type="dxa"/>
          <w:right w:w="108" w:type="dxa"/>
        </w:tblCellMar>
      </w:tblPr>
      <w:tblGrid>
        <w:gridCol w:w="716"/>
        <w:gridCol w:w="1140"/>
        <w:gridCol w:w="1635"/>
        <w:gridCol w:w="1212"/>
        <w:gridCol w:w="1165"/>
        <w:gridCol w:w="1119"/>
        <w:gridCol w:w="953"/>
      </w:tblGrid>
      <w:tr>
        <w:tblPrEx>
          <w:shd w:val="clear" w:color="auto" w:fill="auto"/>
          <w:tblCellMar>
            <w:top w:w="0" w:type="dxa"/>
            <w:left w:w="108" w:type="dxa"/>
            <w:bottom w:w="0" w:type="dxa"/>
            <w:right w:w="108" w:type="dxa"/>
          </w:tblCellMar>
        </w:tblPrEx>
        <w:trPr>
          <w:trHeight w:val="474" w:hRule="atLeast"/>
        </w:trPr>
        <w:tc>
          <w:tcPr>
            <w:tcW w:w="7940" w:type="dxa"/>
            <w:gridSpan w:val="7"/>
            <w:vMerge w:val="restart"/>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sz w:val="36"/>
                <w:szCs w:val="36"/>
                <w:lang w:val="zh-CN"/>
              </w:rPr>
            </w:pPr>
            <w:r>
              <w:rPr>
                <w:rFonts w:hint="eastAsia" w:ascii="仿宋_GB2312" w:hAnsi="仿宋_GB2312" w:eastAsia="仿宋_GB2312" w:cs="仿宋_GB2312"/>
                <w:b/>
                <w:bCs/>
                <w:sz w:val="36"/>
                <w:szCs w:val="36"/>
                <w:lang w:val="zh-CN"/>
              </w:rPr>
              <w:t>山东</w:t>
            </w:r>
            <w:r>
              <w:rPr>
                <w:rFonts w:hint="eastAsia" w:ascii="仿宋_GB2312" w:hAnsi="仿宋_GB2312" w:eastAsia="仿宋_GB2312" w:cs="仿宋_GB2312"/>
                <w:b/>
                <w:bCs/>
                <w:sz w:val="36"/>
                <w:szCs w:val="36"/>
                <w:lang w:val="zh-CN" w:eastAsia="zh-CN"/>
              </w:rPr>
              <w:t>岱岳制盐</w:t>
            </w:r>
            <w:r>
              <w:rPr>
                <w:rFonts w:hint="eastAsia" w:ascii="仿宋_GB2312" w:hAnsi="仿宋_GB2312" w:eastAsia="仿宋_GB2312" w:cs="仿宋_GB2312"/>
                <w:b/>
                <w:bCs/>
                <w:sz w:val="36"/>
                <w:szCs w:val="36"/>
                <w:lang w:val="zh-CN"/>
              </w:rPr>
              <w:t>有限公司</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36"/>
                <w:szCs w:val="36"/>
                <w:u w:val="none"/>
              </w:rPr>
            </w:pPr>
            <w:r>
              <w:rPr>
                <w:rFonts w:hint="eastAsia" w:ascii="仿宋_GB2312" w:hAnsi="仿宋_GB2312" w:eastAsia="仿宋_GB2312" w:cs="仿宋_GB2312"/>
                <w:sz w:val="30"/>
                <w:szCs w:val="30"/>
                <w:lang w:val="en-US" w:eastAsia="zh-CN"/>
              </w:rPr>
              <w:t>制盐车间离心机配重块建设及基座改造项目</w:t>
            </w:r>
            <w:r>
              <w:rPr>
                <w:rFonts w:hint="eastAsia" w:ascii="仿宋_GB2312" w:hAnsi="仿宋_GB2312" w:eastAsia="仿宋_GB2312" w:cs="仿宋_GB2312"/>
                <w:sz w:val="30"/>
                <w:szCs w:val="30"/>
                <w:lang w:val="zh-CN"/>
              </w:rPr>
              <w:t>报价单</w:t>
            </w:r>
          </w:p>
        </w:tc>
      </w:tr>
      <w:tr>
        <w:tblPrEx>
          <w:tblCellMar>
            <w:top w:w="0" w:type="dxa"/>
            <w:left w:w="108" w:type="dxa"/>
            <w:bottom w:w="0" w:type="dxa"/>
            <w:right w:w="108" w:type="dxa"/>
          </w:tblCellMar>
        </w:tblPrEx>
        <w:trPr>
          <w:trHeight w:val="504" w:hRule="atLeast"/>
        </w:trPr>
        <w:tc>
          <w:tcPr>
            <w:tcW w:w="7940" w:type="dxa"/>
            <w:gridSpan w:val="7"/>
            <w:vMerge w:val="continue"/>
            <w:tcBorders>
              <w:top w:val="nil"/>
              <w:left w:val="nil"/>
              <w:bottom w:val="single" w:color="000000" w:sz="4" w:space="0"/>
              <w:right w:val="nil"/>
            </w:tcBorders>
            <w:shd w:val="clear" w:color="auto" w:fill="auto"/>
            <w:vAlign w:val="center"/>
          </w:tcPr>
          <w:p>
            <w:pPr>
              <w:jc w:val="center"/>
              <w:rPr>
                <w:rFonts w:hint="eastAsia" w:ascii="仿宋_GB2312" w:hAnsi="仿宋_GB2312" w:eastAsia="仿宋_GB2312" w:cs="仿宋_GB2312"/>
                <w:i w:val="0"/>
                <w:iCs w:val="0"/>
                <w:color w:val="000000"/>
                <w:sz w:val="36"/>
                <w:szCs w:val="36"/>
                <w:u w:val="none"/>
              </w:rPr>
            </w:pPr>
          </w:p>
        </w:tc>
      </w:tr>
      <w:tr>
        <w:tblPrEx>
          <w:tblCellMar>
            <w:top w:w="0" w:type="dxa"/>
            <w:left w:w="108" w:type="dxa"/>
            <w:bottom w:w="0" w:type="dxa"/>
            <w:right w:w="108" w:type="dxa"/>
          </w:tblCellMar>
        </w:tblPrEx>
        <w:trPr>
          <w:trHeight w:val="504" w:hRule="atLeast"/>
        </w:trPr>
        <w:tc>
          <w:tcPr>
            <w:tcW w:w="7940" w:type="dxa"/>
            <w:gridSpan w:val="7"/>
            <w:vMerge w:val="continue"/>
            <w:tcBorders>
              <w:top w:val="nil"/>
              <w:left w:val="nil"/>
              <w:bottom w:val="single" w:color="000000" w:sz="4" w:space="0"/>
              <w:right w:val="nil"/>
            </w:tcBorders>
            <w:shd w:val="clear" w:color="auto" w:fill="auto"/>
            <w:vAlign w:val="center"/>
          </w:tcPr>
          <w:p>
            <w:pPr>
              <w:jc w:val="center"/>
              <w:rPr>
                <w:rFonts w:hint="eastAsia" w:ascii="仿宋_GB2312" w:hAnsi="仿宋_GB2312" w:eastAsia="仿宋_GB2312" w:cs="仿宋_GB2312"/>
                <w:i w:val="0"/>
                <w:iCs w:val="0"/>
                <w:color w:val="000000"/>
                <w:sz w:val="36"/>
                <w:szCs w:val="36"/>
                <w:u w:val="none"/>
              </w:rPr>
            </w:pPr>
          </w:p>
        </w:tc>
      </w:tr>
      <w:tr>
        <w:tblPrEx>
          <w:tblCellMar>
            <w:top w:w="0" w:type="dxa"/>
            <w:left w:w="108" w:type="dxa"/>
            <w:bottom w:w="0" w:type="dxa"/>
            <w:right w:w="108" w:type="dxa"/>
          </w:tblCellMar>
        </w:tblPrEx>
        <w:trPr>
          <w:trHeight w:val="504" w:hRule="atLeast"/>
        </w:trPr>
        <w:tc>
          <w:tcPr>
            <w:tcW w:w="1856" w:type="dxa"/>
            <w:gridSpan w:val="2"/>
            <w:vMerge w:val="restart"/>
            <w:tcBorders>
              <w:top w:val="nil"/>
              <w:left w:val="single" w:color="000000" w:sz="4" w:space="0"/>
              <w:bottom w:val="single" w:color="000000" w:sz="4" w:space="0"/>
              <w:right w:val="single" w:color="000000" w:sz="4" w:space="0"/>
            </w:tcBorders>
            <w:shd w:val="clear" w:color="auto" w:fill="auto"/>
            <w:noWrap/>
            <w:vAlign w:val="center"/>
          </w:tcPr>
          <w:p>
            <w:pPr>
              <w:spacing w:line="0" w:lineRule="atLeast"/>
              <w:jc w:val="center"/>
              <w:rPr>
                <w:rFonts w:hint="eastAsia" w:ascii="仿宋_GB2312" w:hAnsi="仿宋_GB2312" w:eastAsia="仿宋_GB2312" w:cs="仿宋_GB2312"/>
                <w:sz w:val="30"/>
                <w:szCs w:val="30"/>
                <w:lang w:val="zh-CN" w:eastAsia="zh-CN"/>
              </w:rPr>
            </w:pPr>
            <w:r>
              <w:rPr>
                <w:rFonts w:hint="eastAsia" w:ascii="仿宋_GB2312" w:hAnsi="仿宋_GB2312" w:eastAsia="仿宋_GB2312" w:cs="仿宋_GB2312"/>
                <w:sz w:val="30"/>
                <w:szCs w:val="30"/>
                <w:lang w:val="en-US" w:eastAsia="zh-CN"/>
              </w:rPr>
              <w:t>报价单位：</w:t>
            </w:r>
          </w:p>
        </w:tc>
        <w:tc>
          <w:tcPr>
            <w:tcW w:w="6084" w:type="dxa"/>
            <w:gridSpan w:val="5"/>
            <w:vMerge w:val="restart"/>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2"/>
                <w:szCs w:val="22"/>
                <w:u w:val="none"/>
              </w:rPr>
            </w:pPr>
          </w:p>
        </w:tc>
      </w:tr>
      <w:tr>
        <w:tblPrEx>
          <w:tblCellMar>
            <w:top w:w="0" w:type="dxa"/>
            <w:left w:w="108" w:type="dxa"/>
            <w:bottom w:w="0" w:type="dxa"/>
            <w:right w:w="108" w:type="dxa"/>
          </w:tblCellMar>
        </w:tblPrEx>
        <w:trPr>
          <w:trHeight w:val="312" w:hRule="atLeast"/>
        </w:trPr>
        <w:tc>
          <w:tcPr>
            <w:tcW w:w="1856" w:type="dxa"/>
            <w:gridSpan w:val="2"/>
            <w:vMerge w:val="continue"/>
            <w:tcBorders>
              <w:top w:val="nil"/>
              <w:left w:val="single" w:color="000000" w:sz="4" w:space="0"/>
              <w:bottom w:val="single" w:color="000000" w:sz="4" w:space="0"/>
              <w:right w:val="single" w:color="000000" w:sz="4" w:space="0"/>
            </w:tcBorders>
            <w:shd w:val="clear" w:color="auto" w:fill="auto"/>
            <w:noWrap/>
            <w:vAlign w:val="center"/>
          </w:tcPr>
          <w:p>
            <w:pPr>
              <w:spacing w:line="0" w:lineRule="atLeast"/>
              <w:jc w:val="center"/>
              <w:rPr>
                <w:rFonts w:hint="eastAsia" w:ascii="仿宋_GB2312" w:hAnsi="仿宋_GB2312" w:eastAsia="仿宋_GB2312" w:cs="仿宋_GB2312"/>
                <w:sz w:val="30"/>
                <w:szCs w:val="30"/>
                <w:lang w:val="zh-CN" w:eastAsia="zh-CN"/>
              </w:rPr>
            </w:pPr>
          </w:p>
        </w:tc>
        <w:tc>
          <w:tcPr>
            <w:tcW w:w="6084" w:type="dxa"/>
            <w:gridSpan w:val="5"/>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2"/>
                <w:szCs w:val="22"/>
                <w:u w:val="none"/>
              </w:rPr>
            </w:pPr>
          </w:p>
        </w:tc>
      </w:tr>
      <w:tr>
        <w:tblPrEx>
          <w:tblCellMar>
            <w:top w:w="0" w:type="dxa"/>
            <w:left w:w="108" w:type="dxa"/>
            <w:bottom w:w="0" w:type="dxa"/>
            <w:right w:w="108" w:type="dxa"/>
          </w:tblCellMar>
        </w:tblPrEx>
        <w:trPr>
          <w:trHeight w:val="504" w:hRule="atLeast"/>
        </w:trPr>
        <w:tc>
          <w:tcPr>
            <w:tcW w:w="18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jc w:val="center"/>
              <w:rPr>
                <w:rFonts w:hint="eastAsia" w:ascii="仿宋_GB2312" w:hAnsi="仿宋_GB2312" w:eastAsia="仿宋_GB2312" w:cs="仿宋_GB2312"/>
                <w:sz w:val="30"/>
                <w:szCs w:val="30"/>
                <w:lang w:val="zh-CN" w:eastAsia="zh-CN"/>
              </w:rPr>
            </w:pPr>
            <w:r>
              <w:rPr>
                <w:rFonts w:hint="eastAsia" w:ascii="仿宋_GB2312" w:hAnsi="仿宋_GB2312" w:eastAsia="仿宋_GB2312" w:cs="仿宋_GB2312"/>
                <w:sz w:val="30"/>
                <w:szCs w:val="30"/>
                <w:lang w:val="en-US" w:eastAsia="zh-CN"/>
              </w:rPr>
              <w:t>项目名称：</w:t>
            </w:r>
          </w:p>
        </w:tc>
        <w:tc>
          <w:tcPr>
            <w:tcW w:w="6084"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jc w:val="center"/>
              <w:rPr>
                <w:rFonts w:hint="eastAsia"/>
                <w:lang w:val="en-US" w:eastAsia="zh-CN"/>
              </w:rPr>
            </w:pPr>
            <w:r>
              <w:rPr>
                <w:rFonts w:hint="eastAsia" w:ascii="仿宋_GB2312" w:hAnsi="仿宋_GB2312" w:eastAsia="仿宋_GB2312" w:cs="仿宋_GB2312"/>
                <w:sz w:val="30"/>
                <w:szCs w:val="30"/>
                <w:lang w:val="en-US" w:eastAsia="zh-CN"/>
              </w:rPr>
              <w:t>制盐车间离心机配重块建设及基座改造项目</w:t>
            </w:r>
          </w:p>
        </w:tc>
      </w:tr>
      <w:tr>
        <w:tblPrEx>
          <w:tblCellMar>
            <w:top w:w="0" w:type="dxa"/>
            <w:left w:w="108" w:type="dxa"/>
            <w:bottom w:w="0" w:type="dxa"/>
            <w:right w:w="108" w:type="dxa"/>
          </w:tblCellMar>
        </w:tblPrEx>
        <w:trPr>
          <w:trHeight w:val="312" w:hRule="atLeast"/>
        </w:trPr>
        <w:tc>
          <w:tcPr>
            <w:tcW w:w="18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32"/>
                <w:szCs w:val="32"/>
                <w:u w:val="none"/>
              </w:rPr>
            </w:pPr>
          </w:p>
        </w:tc>
        <w:tc>
          <w:tcPr>
            <w:tcW w:w="608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32"/>
                <w:szCs w:val="32"/>
                <w:u w:val="none"/>
              </w:rPr>
            </w:pPr>
          </w:p>
        </w:tc>
      </w:tr>
      <w:tr>
        <w:tblPrEx>
          <w:tblCellMar>
            <w:top w:w="0" w:type="dxa"/>
            <w:left w:w="108" w:type="dxa"/>
            <w:bottom w:w="0" w:type="dxa"/>
            <w:right w:w="108" w:type="dxa"/>
          </w:tblCellMar>
        </w:tblPrEx>
        <w:trPr>
          <w:trHeight w:val="504" w:hRule="atLeast"/>
        </w:trPr>
        <w:tc>
          <w:tcPr>
            <w:tcW w:w="7940"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 xml:space="preserve">    </w:t>
            </w:r>
            <w:r>
              <w:rPr>
                <w:rFonts w:hint="eastAsia" w:ascii="仿宋_GB2312" w:hAnsi="仿宋_GB2312" w:eastAsia="仿宋_GB2312" w:cs="仿宋_GB2312"/>
                <w:i w:val="0"/>
                <w:iCs w:val="0"/>
                <w:color w:val="000000"/>
                <w:kern w:val="0"/>
                <w:sz w:val="30"/>
                <w:szCs w:val="30"/>
                <w:u w:val="none"/>
                <w:lang w:val="en-US" w:eastAsia="zh-CN" w:bidi="ar"/>
              </w:rPr>
              <w:t>报价内容</w:t>
            </w:r>
          </w:p>
        </w:tc>
      </w:tr>
      <w:tr>
        <w:tblPrEx>
          <w:tblCellMar>
            <w:top w:w="0" w:type="dxa"/>
            <w:left w:w="108" w:type="dxa"/>
            <w:bottom w:w="0" w:type="dxa"/>
            <w:right w:w="108" w:type="dxa"/>
          </w:tblCellMar>
        </w:tblPrEx>
        <w:trPr>
          <w:trHeight w:val="312" w:hRule="atLeast"/>
        </w:trPr>
        <w:tc>
          <w:tcPr>
            <w:tcW w:w="7940"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32"/>
                <w:szCs w:val="32"/>
                <w:u w:val="none"/>
              </w:rPr>
            </w:pPr>
          </w:p>
        </w:tc>
      </w:tr>
      <w:tr>
        <w:tblPrEx>
          <w:tblCellMar>
            <w:top w:w="0" w:type="dxa"/>
            <w:left w:w="108" w:type="dxa"/>
            <w:bottom w:w="0" w:type="dxa"/>
            <w:right w:w="108" w:type="dxa"/>
          </w:tblCellMar>
        </w:tblPrEx>
        <w:trPr>
          <w:trHeight w:val="578"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2775" w:type="dxa"/>
            <w:gridSpan w:val="2"/>
            <w:tcBorders>
              <w:top w:val="single" w:color="000000" w:sz="4" w:space="0"/>
              <w:left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报价项目</w:t>
            </w:r>
          </w:p>
        </w:tc>
        <w:tc>
          <w:tcPr>
            <w:tcW w:w="1212" w:type="dxa"/>
            <w:tcBorders>
              <w:top w:val="single" w:color="000000" w:sz="4" w:space="0"/>
              <w:left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数量</w:t>
            </w: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b w:val="0"/>
                <w:bCs w:val="0"/>
                <w:i w:val="0"/>
                <w:caps w:val="0"/>
                <w:color w:val="000000"/>
                <w:spacing w:val="0"/>
                <w:w w:val="100"/>
                <w:kern w:val="0"/>
                <w:sz w:val="24"/>
                <w:szCs w:val="24"/>
                <w:u w:val="none"/>
                <w:lang w:val="en-US" w:eastAsia="zh-CN" w:bidi="ar"/>
              </w:rPr>
              <w:t>单位</w:t>
            </w:r>
            <w:r>
              <w:rPr>
                <w:rFonts w:hint="eastAsia" w:ascii="仿宋_GB2312" w:hAnsi="仿宋_GB2312" w:eastAsia="仿宋_GB2312" w:cs="仿宋_GB2312"/>
                <w:i w:val="0"/>
                <w:iCs w:val="0"/>
                <w:color w:val="000000"/>
                <w:kern w:val="0"/>
                <w:sz w:val="24"/>
                <w:szCs w:val="24"/>
                <w:u w:val="none"/>
                <w:lang w:val="en-US" w:eastAsia="zh-CN" w:bidi="ar"/>
              </w:rPr>
              <w:t>）</w:t>
            </w:r>
          </w:p>
        </w:tc>
        <w:tc>
          <w:tcPr>
            <w:tcW w:w="11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单价</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（单位）</w:t>
            </w:r>
          </w:p>
        </w:tc>
        <w:tc>
          <w:tcPr>
            <w:tcW w:w="111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总价</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（万元）</w:t>
            </w:r>
          </w:p>
        </w:tc>
        <w:tc>
          <w:tcPr>
            <w:tcW w:w="953" w:type="dxa"/>
            <w:tcBorders>
              <w:top w:val="single" w:color="auto" w:sz="4" w:space="0"/>
              <w:left w:val="single" w:color="auto"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备注</w:t>
            </w:r>
          </w:p>
        </w:tc>
      </w:tr>
      <w:tr>
        <w:tblPrEx>
          <w:tblCellMar>
            <w:top w:w="0" w:type="dxa"/>
            <w:left w:w="108" w:type="dxa"/>
            <w:bottom w:w="0" w:type="dxa"/>
            <w:right w:w="108" w:type="dxa"/>
          </w:tblCellMar>
        </w:tblPrEx>
        <w:trPr>
          <w:trHeight w:val="546"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spacing w:before="0" w:beforeAutospacing="0" w:after="0" w:afterAutospacing="0" w:line="240" w:lineRule="auto"/>
              <w:jc w:val="center"/>
              <w:textAlignment w:val="baseline"/>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 w:hAnsi="仿宋" w:eastAsia="仿宋" w:cs="仿宋"/>
                <w:b w:val="0"/>
                <w:i w:val="0"/>
                <w:caps w:val="0"/>
                <w:spacing w:val="0"/>
                <w:w w:val="100"/>
                <w:sz w:val="21"/>
                <w:szCs w:val="21"/>
              </w:rPr>
              <w:t>1</w:t>
            </w:r>
          </w:p>
        </w:tc>
        <w:tc>
          <w:tcPr>
            <w:tcW w:w="2775" w:type="dxa"/>
            <w:gridSpan w:val="2"/>
            <w:tcBorders>
              <w:top w:val="single" w:color="000000" w:sz="4" w:space="0"/>
              <w:left w:val="single" w:color="000000" w:sz="4" w:space="0"/>
              <w:bottom w:val="nil"/>
              <w:right w:val="nil"/>
            </w:tcBorders>
            <w:shd w:val="clear" w:color="auto" w:fill="auto"/>
            <w:vAlign w:val="center"/>
          </w:tcPr>
          <w:p>
            <w:pPr>
              <w:pStyle w:val="4"/>
              <w:jc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lang w:val="en-US" w:eastAsia="zh-CN" w:bidi="ar"/>
              </w:rPr>
              <w:t>配重块建设</w:t>
            </w:r>
          </w:p>
        </w:tc>
        <w:tc>
          <w:tcPr>
            <w:tcW w:w="1212"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4"/>
              <w:jc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vertAlign w:val="baseline"/>
                <w:lang w:val="en-US" w:eastAsia="zh-CN" w:bidi="ar"/>
              </w:rPr>
              <w:t>1项</w:t>
            </w:r>
          </w:p>
        </w:tc>
        <w:tc>
          <w:tcPr>
            <w:tcW w:w="11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111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953" w:type="dxa"/>
            <w:tcBorders>
              <w:top w:val="single" w:color="000000" w:sz="4" w:space="0"/>
              <w:left w:val="single" w:color="auto" w:sz="4" w:space="0"/>
              <w:bottom w:val="nil"/>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aps w:val="0"/>
                <w:color w:val="000000"/>
                <w:spacing w:val="0"/>
                <w:w w:val="100"/>
                <w:kern w:val="0"/>
                <w:sz w:val="24"/>
                <w:szCs w:val="24"/>
                <w:u w:val="none"/>
                <w:lang w:val="en-US" w:eastAsia="zh-CN" w:bidi="ar"/>
              </w:rPr>
            </w:pPr>
          </w:p>
        </w:tc>
      </w:tr>
      <w:tr>
        <w:tblPrEx>
          <w:tblCellMar>
            <w:top w:w="0" w:type="dxa"/>
            <w:left w:w="108" w:type="dxa"/>
            <w:bottom w:w="0" w:type="dxa"/>
            <w:right w:w="108" w:type="dxa"/>
          </w:tblCellMar>
        </w:tblPrEx>
        <w:trPr>
          <w:trHeight w:val="546"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spacing w:before="0" w:beforeAutospacing="0" w:after="0" w:afterAutospacing="0" w:line="240" w:lineRule="auto"/>
              <w:jc w:val="center"/>
              <w:textAlignment w:val="baseline"/>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 w:hAnsi="仿宋" w:eastAsia="仿宋" w:cs="仿宋"/>
                <w:b w:val="0"/>
                <w:i w:val="0"/>
                <w:caps w:val="0"/>
                <w:spacing w:val="0"/>
                <w:w w:val="100"/>
                <w:sz w:val="21"/>
                <w:szCs w:val="21"/>
              </w:rPr>
              <w:t>2</w:t>
            </w:r>
          </w:p>
        </w:tc>
        <w:tc>
          <w:tcPr>
            <w:tcW w:w="2775" w:type="dxa"/>
            <w:gridSpan w:val="2"/>
            <w:tcBorders>
              <w:top w:val="single" w:color="000000" w:sz="4" w:space="0"/>
              <w:left w:val="single" w:color="000000" w:sz="4" w:space="0"/>
              <w:bottom w:val="nil"/>
              <w:right w:val="nil"/>
            </w:tcBorders>
            <w:shd w:val="clear" w:color="auto" w:fill="auto"/>
            <w:vAlign w:val="center"/>
          </w:tcPr>
          <w:p>
            <w:pPr>
              <w:pStyle w:val="4"/>
              <w:jc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lang w:val="en-US" w:eastAsia="zh-CN" w:bidi="ar"/>
              </w:rPr>
              <w:t>基座改造</w:t>
            </w:r>
          </w:p>
        </w:tc>
        <w:tc>
          <w:tcPr>
            <w:tcW w:w="1212"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4"/>
              <w:jc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vertAlign w:val="baseline"/>
                <w:lang w:val="en-US" w:eastAsia="zh-CN" w:bidi="ar"/>
              </w:rPr>
              <w:t>1项</w:t>
            </w:r>
          </w:p>
        </w:tc>
        <w:tc>
          <w:tcPr>
            <w:tcW w:w="11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111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953" w:type="dxa"/>
            <w:tcBorders>
              <w:top w:val="single" w:color="000000" w:sz="4" w:space="0"/>
              <w:left w:val="single" w:color="auto" w:sz="4" w:space="0"/>
              <w:bottom w:val="nil"/>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546"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spacing w:before="0" w:beforeAutospacing="0" w:after="0" w:afterAutospacing="0" w:line="240" w:lineRule="auto"/>
              <w:jc w:val="center"/>
              <w:textAlignment w:val="baseline"/>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 w:hAnsi="仿宋" w:eastAsia="仿宋" w:cs="仿宋"/>
                <w:b w:val="0"/>
                <w:i w:val="0"/>
                <w:caps w:val="0"/>
                <w:spacing w:val="0"/>
                <w:w w:val="100"/>
                <w:sz w:val="21"/>
                <w:szCs w:val="21"/>
              </w:rPr>
              <w:t>3</w:t>
            </w:r>
          </w:p>
        </w:tc>
        <w:tc>
          <w:tcPr>
            <w:tcW w:w="2775" w:type="dxa"/>
            <w:gridSpan w:val="2"/>
            <w:tcBorders>
              <w:top w:val="single" w:color="000000" w:sz="4" w:space="0"/>
              <w:left w:val="single" w:color="000000" w:sz="4" w:space="0"/>
              <w:bottom w:val="nil"/>
              <w:right w:val="nil"/>
            </w:tcBorders>
            <w:shd w:val="clear" w:color="auto" w:fill="auto"/>
            <w:vAlign w:val="center"/>
          </w:tcPr>
          <w:p>
            <w:pPr>
              <w:pStyle w:val="4"/>
              <w:jc w:val="center"/>
              <w:rPr>
                <w:rFonts w:hint="eastAsia" w:ascii="仿宋_GB2312" w:hAnsi="仿宋_GB2312" w:eastAsia="仿宋_GB2312" w:cs="仿宋_GB2312"/>
                <w:i w:val="0"/>
                <w:iCs w:val="0"/>
                <w:color w:val="000000"/>
                <w:kern w:val="0"/>
                <w:sz w:val="24"/>
                <w:szCs w:val="24"/>
                <w:u w:val="none"/>
                <w:lang w:val="en-US" w:eastAsia="zh-CN" w:bidi="ar"/>
              </w:rPr>
            </w:pPr>
          </w:p>
        </w:tc>
        <w:tc>
          <w:tcPr>
            <w:tcW w:w="1212"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4"/>
              <w:jc w:val="center"/>
              <w:rPr>
                <w:rFonts w:hint="default" w:ascii="仿宋_GB2312" w:hAnsi="仿宋_GB2312" w:eastAsia="仿宋_GB2312" w:cs="仿宋_GB2312"/>
                <w:i w:val="0"/>
                <w:iCs w:val="0"/>
                <w:color w:val="000000"/>
                <w:kern w:val="0"/>
                <w:sz w:val="24"/>
                <w:szCs w:val="24"/>
                <w:u w:val="none"/>
                <w:lang w:val="en-US" w:eastAsia="zh-CN" w:bidi="ar"/>
              </w:rPr>
            </w:pPr>
          </w:p>
        </w:tc>
        <w:tc>
          <w:tcPr>
            <w:tcW w:w="11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111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953" w:type="dxa"/>
            <w:tcBorders>
              <w:top w:val="single" w:color="000000" w:sz="4" w:space="0"/>
              <w:left w:val="single" w:color="auto" w:sz="4" w:space="0"/>
              <w:bottom w:val="nil"/>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546" w:hRule="atLeast"/>
        </w:trPr>
        <w:tc>
          <w:tcPr>
            <w:tcW w:w="71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snapToGrid/>
              <w:spacing w:before="0" w:beforeAutospacing="0" w:after="0" w:afterAutospacing="0" w:line="360" w:lineRule="auto"/>
              <w:jc w:val="center"/>
              <w:textAlignment w:val="baseline"/>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 w:hAnsi="仿宋" w:eastAsia="仿宋" w:cs="仿宋"/>
                <w:b w:val="0"/>
                <w:bCs/>
                <w:i w:val="0"/>
                <w:caps w:val="0"/>
                <w:spacing w:val="0"/>
                <w:w w:val="100"/>
                <w:sz w:val="21"/>
                <w:szCs w:val="21"/>
                <w:lang w:val="en-US" w:eastAsia="zh-CN"/>
              </w:rPr>
              <w:t>4</w:t>
            </w:r>
          </w:p>
        </w:tc>
        <w:tc>
          <w:tcPr>
            <w:tcW w:w="2775" w:type="dxa"/>
            <w:gridSpan w:val="2"/>
            <w:tcBorders>
              <w:top w:val="single" w:color="000000" w:sz="4" w:space="0"/>
              <w:left w:val="single" w:color="000000" w:sz="4" w:space="0"/>
              <w:bottom w:val="single" w:color="auto" w:sz="4" w:space="0"/>
              <w:right w:val="nil"/>
            </w:tcBorders>
            <w:shd w:val="clear" w:color="auto" w:fill="auto"/>
            <w:vAlign w:val="center"/>
          </w:tcPr>
          <w:p>
            <w:pPr>
              <w:pStyle w:val="4"/>
              <w:jc w:val="center"/>
              <w:rPr>
                <w:rFonts w:hint="eastAsia" w:ascii="仿宋_GB2312" w:hAnsi="仿宋_GB2312" w:eastAsia="仿宋_GB2312" w:cs="仿宋_GB2312"/>
                <w:i w:val="0"/>
                <w:iCs w:val="0"/>
                <w:color w:val="000000"/>
                <w:kern w:val="0"/>
                <w:sz w:val="24"/>
                <w:szCs w:val="24"/>
                <w:u w:val="none"/>
                <w:lang w:val="en-US" w:eastAsia="zh-CN" w:bidi="ar"/>
              </w:rPr>
            </w:pPr>
          </w:p>
        </w:tc>
        <w:tc>
          <w:tcPr>
            <w:tcW w:w="1212" w:type="dxa"/>
            <w:tcBorders>
              <w:top w:val="single" w:color="000000" w:sz="4" w:space="0"/>
              <w:left w:val="single" w:color="000000" w:sz="4" w:space="0"/>
              <w:bottom w:val="single" w:color="auto" w:sz="4" w:space="0"/>
              <w:right w:val="single" w:color="auto" w:sz="4" w:space="0"/>
            </w:tcBorders>
            <w:shd w:val="clear" w:color="auto" w:fill="auto"/>
            <w:noWrap/>
            <w:vAlign w:val="center"/>
          </w:tcPr>
          <w:p>
            <w:pPr>
              <w:pStyle w:val="4"/>
              <w:jc w:val="center"/>
              <w:rPr>
                <w:rFonts w:hint="eastAsia" w:ascii="仿宋_GB2312" w:hAnsi="仿宋_GB2312" w:eastAsia="仿宋_GB2312" w:cs="仿宋_GB2312"/>
                <w:color w:val="000000"/>
                <w:kern w:val="0"/>
                <w:u w:val="none"/>
                <w:lang w:val="en-US" w:eastAsia="zh-CN" w:bidi="ar"/>
              </w:rPr>
            </w:pPr>
          </w:p>
        </w:tc>
        <w:tc>
          <w:tcPr>
            <w:tcW w:w="11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111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c>
          <w:tcPr>
            <w:tcW w:w="953" w:type="dxa"/>
            <w:tcBorders>
              <w:top w:val="single" w:color="000000"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546" w:hRule="atLeast"/>
        </w:trPr>
        <w:tc>
          <w:tcPr>
            <w:tcW w:w="716" w:type="dxa"/>
            <w:tcBorders>
              <w:top w:val="single" w:color="auto" w:sz="4" w:space="0"/>
              <w:left w:val="single" w:color="auto" w:sz="4" w:space="0"/>
              <w:bottom w:val="single" w:color="auto" w:sz="4" w:space="0"/>
              <w:right w:val="single" w:color="000000" w:sz="4" w:space="0"/>
            </w:tcBorders>
            <w:shd w:val="clear" w:color="auto" w:fill="auto"/>
            <w:noWrap/>
            <w:vAlign w:val="center"/>
          </w:tcPr>
          <w:p>
            <w:pPr>
              <w:snapToGrid/>
              <w:spacing w:before="0" w:beforeAutospacing="0" w:after="0" w:afterAutospacing="0" w:line="360" w:lineRule="auto"/>
              <w:jc w:val="center"/>
              <w:textAlignment w:val="baseline"/>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 w:hAnsi="仿宋" w:eastAsia="仿宋" w:cs="仿宋"/>
                <w:b w:val="0"/>
                <w:bCs/>
                <w:i w:val="0"/>
                <w:caps w:val="0"/>
                <w:spacing w:val="0"/>
                <w:w w:val="100"/>
                <w:sz w:val="21"/>
                <w:szCs w:val="21"/>
                <w:lang w:val="en-US" w:eastAsia="zh-CN"/>
              </w:rPr>
              <w:t>5</w:t>
            </w:r>
          </w:p>
        </w:tc>
        <w:tc>
          <w:tcPr>
            <w:tcW w:w="2775" w:type="dxa"/>
            <w:gridSpan w:val="2"/>
            <w:tcBorders>
              <w:top w:val="single" w:color="auto" w:sz="4" w:space="0"/>
              <w:left w:val="single" w:color="000000"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总计（元）</w:t>
            </w:r>
          </w:p>
        </w:tc>
        <w:tc>
          <w:tcPr>
            <w:tcW w:w="4449" w:type="dxa"/>
            <w:gridSpan w:val="4"/>
            <w:tcBorders>
              <w:top w:val="single" w:color="auto" w:sz="4" w:space="0"/>
              <w:left w:val="single" w:color="000000"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tc>
      </w:tr>
    </w:tbl>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rPr>
          <w:rFonts w:hint="eastAsia" w:ascii="仿宋_GB2312" w:hAnsi="Times New Roman" w:eastAsia="仿宋_GB2312" w:cs="Times New Roman"/>
          <w:spacing w:val="-17"/>
          <w:sz w:val="32"/>
          <w:szCs w:val="32"/>
        </w:rPr>
      </w:pPr>
    </w:p>
    <w:p>
      <w:pPr>
        <w:pStyle w:val="2"/>
        <w:ind w:left="0" w:leftChars="0" w:firstLine="0" w:firstLineChars="0"/>
        <w:rPr>
          <w:rFonts w:hint="eastAsia" w:ascii="仿宋_GB2312" w:hAnsi="宋体" w:eastAsia="仿宋_GB2312" w:cs="Times New Roman"/>
          <w:kern w:val="2"/>
          <w:sz w:val="28"/>
          <w:szCs w:val="28"/>
          <w:lang w:val="en-US" w:eastAsia="zh-CN" w:bidi="ar-SA"/>
        </w:rPr>
      </w:pPr>
    </w:p>
    <w:p>
      <w:pPr>
        <w:pStyle w:val="2"/>
        <w:ind w:left="0" w:leftChars="0" w:firstLine="0" w:firstLineChars="0"/>
        <w:rPr>
          <w:rFonts w:hint="eastAsia" w:ascii="仿宋_GB2312" w:hAnsi="Times New Roman" w:eastAsia="仿宋_GB2312" w:cs="Times New Roman"/>
          <w:spacing w:val="-17"/>
          <w:sz w:val="32"/>
          <w:szCs w:val="32"/>
          <w:lang w:val="en-US" w:eastAsia="zh-CN"/>
        </w:rPr>
      </w:pPr>
      <w:r>
        <w:rPr>
          <w:rFonts w:hint="eastAsia" w:ascii="仿宋_GB2312" w:hAnsi="Times New Roman" w:eastAsia="仿宋_GB2312" w:cs="Times New Roman"/>
          <w:spacing w:val="-17"/>
          <w:sz w:val="32"/>
          <w:szCs w:val="32"/>
          <w:lang w:val="en-US" w:eastAsia="zh-CN"/>
        </w:rPr>
        <w:t xml:space="preserve">                             </w:t>
      </w:r>
    </w:p>
    <w:p>
      <w:pPr>
        <w:pStyle w:val="2"/>
        <w:ind w:left="0" w:leftChars="0" w:firstLine="0" w:firstLineChars="0"/>
        <w:rPr>
          <w:rFonts w:hint="eastAsia" w:ascii="仿宋_GB2312" w:hAnsi="Times New Roman" w:eastAsia="仿宋_GB2312" w:cs="Times New Roman"/>
          <w:spacing w:val="-17"/>
          <w:sz w:val="32"/>
          <w:szCs w:val="32"/>
          <w:lang w:val="en-US" w:eastAsia="zh-CN"/>
        </w:rPr>
      </w:pPr>
    </w:p>
    <w:p>
      <w:pPr>
        <w:pStyle w:val="2"/>
        <w:ind w:left="0" w:leftChars="0" w:firstLine="0" w:firstLineChars="0"/>
        <w:rPr>
          <w:rFonts w:hint="eastAsia" w:ascii="仿宋_GB2312" w:hAnsi="Times New Roman" w:eastAsia="仿宋_GB2312" w:cs="Times New Roman"/>
          <w:spacing w:val="-17"/>
          <w:sz w:val="32"/>
          <w:szCs w:val="32"/>
          <w:lang w:val="en-US" w:eastAsia="zh-CN"/>
        </w:rPr>
      </w:pPr>
    </w:p>
    <w:p>
      <w:pPr>
        <w:pStyle w:val="2"/>
        <w:ind w:left="0" w:leftChars="0" w:firstLine="0" w:firstLineChars="0"/>
        <w:rPr>
          <w:rFonts w:hint="eastAsia" w:ascii="仿宋_GB2312" w:hAnsi="Times New Roman" w:eastAsia="仿宋_GB2312" w:cs="Times New Roman"/>
          <w:spacing w:val="-17"/>
          <w:sz w:val="32"/>
          <w:szCs w:val="32"/>
          <w:lang w:val="en-US" w:eastAsia="zh-CN"/>
        </w:rPr>
      </w:pPr>
    </w:p>
    <w:p>
      <w:pPr>
        <w:pStyle w:val="2"/>
        <w:ind w:left="0" w:leftChars="0" w:firstLine="0" w:firstLineChars="0"/>
        <w:rPr>
          <w:rFonts w:hint="eastAsia" w:ascii="仿宋_GB2312" w:hAnsi="Times New Roman" w:eastAsia="仿宋_GB2312" w:cs="Times New Roman"/>
          <w:spacing w:val="-17"/>
          <w:sz w:val="32"/>
          <w:szCs w:val="32"/>
          <w:lang w:val="en-US" w:eastAsia="zh-CN"/>
        </w:rPr>
      </w:pPr>
    </w:p>
    <w:p>
      <w:pPr>
        <w:pStyle w:val="2"/>
        <w:ind w:left="0" w:leftChars="0" w:firstLine="5148" w:firstLineChars="1800"/>
        <w:rPr>
          <w:rFonts w:hint="eastAsia" w:ascii="仿宋_GB2312" w:hAnsi="Times New Roman" w:eastAsia="仿宋_GB2312" w:cs="Times New Roman"/>
          <w:spacing w:val="-17"/>
          <w:sz w:val="32"/>
          <w:szCs w:val="32"/>
          <w:lang w:val="en-US" w:eastAsia="zh-CN"/>
        </w:rPr>
      </w:pPr>
      <w:r>
        <w:rPr>
          <w:rFonts w:hint="eastAsia" w:ascii="仿宋_GB2312" w:hAnsi="Times New Roman" w:eastAsia="仿宋_GB2312" w:cs="Times New Roman"/>
          <w:spacing w:val="-17"/>
          <w:sz w:val="32"/>
          <w:szCs w:val="32"/>
          <w:lang w:val="en-US" w:eastAsia="zh-CN"/>
        </w:rPr>
        <w:t>施工单位（公章）：</w:t>
      </w:r>
    </w:p>
    <w:p>
      <w:pPr>
        <w:pStyle w:val="2"/>
        <w:ind w:left="0" w:leftChars="0" w:firstLine="0" w:firstLineChars="0"/>
        <w:rPr>
          <w:rFonts w:hint="eastAsia" w:ascii="仿宋_GB2312" w:hAnsi="Times New Roman" w:eastAsia="仿宋_GB2312" w:cs="Times New Roman"/>
          <w:spacing w:val="-17"/>
          <w:sz w:val="32"/>
          <w:szCs w:val="32"/>
          <w:lang w:val="en-US" w:eastAsia="zh-CN"/>
        </w:rPr>
      </w:pPr>
      <w:r>
        <w:rPr>
          <w:rFonts w:hint="eastAsia" w:ascii="仿宋_GB2312" w:hAnsi="Times New Roman" w:eastAsia="仿宋_GB2312" w:cs="Times New Roman"/>
          <w:spacing w:val="-17"/>
          <w:sz w:val="32"/>
          <w:szCs w:val="32"/>
          <w:lang w:val="en-US" w:eastAsia="zh-CN"/>
        </w:rPr>
        <w:t xml:space="preserve">                                    </w:t>
      </w:r>
    </w:p>
    <w:p>
      <w:pPr>
        <w:pStyle w:val="2"/>
        <w:ind w:left="0" w:leftChars="0" w:firstLine="6006" w:firstLineChars="2100"/>
        <w:rPr>
          <w:rFonts w:hint="eastAsia" w:ascii="仿宋_GB2312" w:hAnsi="Times New Roman" w:eastAsia="仿宋_GB2312" w:cs="Times New Roman"/>
          <w:spacing w:val="-17"/>
          <w:sz w:val="32"/>
          <w:szCs w:val="32"/>
          <w:lang w:val="en-US" w:eastAsia="zh-CN"/>
        </w:rPr>
      </w:pPr>
      <w:r>
        <w:rPr>
          <w:rFonts w:hint="eastAsia" w:ascii="仿宋_GB2312" w:hAnsi="Times New Roman" w:eastAsia="仿宋_GB2312" w:cs="Times New Roman"/>
          <w:spacing w:val="-17"/>
          <w:sz w:val="32"/>
          <w:szCs w:val="32"/>
          <w:lang w:val="en-US" w:eastAsia="zh-CN"/>
        </w:rPr>
        <w:t xml:space="preserve"> 年   月   日</w:t>
      </w:r>
    </w:p>
    <w:p>
      <w:pPr>
        <w:pStyle w:val="2"/>
        <w:ind w:left="0" w:leftChars="0" w:firstLine="6006" w:firstLineChars="2100"/>
        <w:rPr>
          <w:rFonts w:hint="eastAsia" w:ascii="仿宋_GB2312" w:hAnsi="Times New Roman" w:eastAsia="仿宋_GB2312" w:cs="Times New Roman"/>
          <w:spacing w:val="-17"/>
          <w:sz w:val="32"/>
          <w:szCs w:val="32"/>
          <w:lang w:val="en-US" w:eastAsia="zh-CN"/>
        </w:rPr>
      </w:pPr>
    </w:p>
    <w:p>
      <w:pPr>
        <w:autoSpaceDE w:val="0"/>
        <w:autoSpaceDN w:val="0"/>
        <w:spacing w:line="640" w:lineRule="exact"/>
        <w:rPr>
          <w:rFonts w:ascii="仿宋_GB2312" w:hAnsi="仿宋" w:eastAsia="仿宋_GB2312"/>
          <w:sz w:val="24"/>
          <w:lang w:val="zh-CN"/>
        </w:rPr>
      </w:pPr>
    </w:p>
    <w:p>
      <w:pPr>
        <w:autoSpaceDE w:val="0"/>
        <w:autoSpaceDN w:val="0"/>
        <w:spacing w:line="640" w:lineRule="exact"/>
        <w:rPr>
          <w:rFonts w:ascii="仿宋_GB2312" w:hAnsi="仿宋" w:eastAsia="仿宋_GB2312"/>
          <w:sz w:val="24"/>
          <w:lang w:val="zh-CN"/>
        </w:rPr>
      </w:pPr>
      <w:r>
        <w:rPr>
          <w:rFonts w:ascii="仿宋_GB2312" w:hAnsi="仿宋" w:eastAsia="仿宋_GB2312"/>
          <w:sz w:val="24"/>
          <w:lang w:val="zh-CN"/>
        </w:rPr>
        <w:t>附</w:t>
      </w:r>
      <w:r>
        <w:rPr>
          <w:rFonts w:hint="eastAsia" w:ascii="仿宋_GB2312" w:hAnsi="仿宋" w:eastAsia="仿宋_GB2312"/>
          <w:sz w:val="24"/>
          <w:lang w:val="zh-CN"/>
        </w:rPr>
        <w:t>表二</w:t>
      </w:r>
      <w:r>
        <w:rPr>
          <w:rFonts w:ascii="仿宋_GB2312" w:hAnsi="仿宋" w:eastAsia="仿宋_GB2312"/>
          <w:sz w:val="24"/>
          <w:lang w:val="zh-CN"/>
        </w:rPr>
        <w:t xml:space="preserve">： </w:t>
      </w:r>
    </w:p>
    <w:p>
      <w:pPr>
        <w:autoSpaceDE w:val="0"/>
        <w:autoSpaceDN w:val="0"/>
        <w:spacing w:before="120" w:after="120" w:line="300" w:lineRule="auto"/>
        <w:jc w:val="center"/>
        <w:rPr>
          <w:rFonts w:ascii="黑体" w:hAnsi="Arial" w:eastAsia="黑体"/>
          <w:sz w:val="30"/>
          <w:szCs w:val="30"/>
          <w:lang w:val="zh-CN"/>
        </w:rPr>
      </w:pPr>
      <w:r>
        <w:rPr>
          <w:rFonts w:hint="eastAsia" w:ascii="黑体" w:hAnsi="Arial" w:eastAsia="黑体"/>
          <w:sz w:val="30"/>
          <w:szCs w:val="30"/>
          <w:lang w:val="zh-CN"/>
        </w:rPr>
        <w:t>商务</w:t>
      </w:r>
      <w:r>
        <w:rPr>
          <w:rFonts w:ascii="黑体" w:hAnsi="Arial" w:eastAsia="黑体"/>
          <w:sz w:val="30"/>
          <w:szCs w:val="30"/>
          <w:lang w:val="zh-CN"/>
        </w:rPr>
        <w:t>偏离表</w:t>
      </w:r>
    </w:p>
    <w:p>
      <w:pPr>
        <w:jc w:val="center"/>
        <w:rPr>
          <w:rFonts w:ascii="宋体" w:hAnsi="Arial"/>
          <w:sz w:val="28"/>
          <w:lang w:val="zh-CN"/>
        </w:rPr>
      </w:pPr>
    </w:p>
    <w:p>
      <w:pPr>
        <w:autoSpaceDE/>
        <w:autoSpaceDN/>
        <w:spacing w:after="0" w:line="0" w:lineRule="atLeast"/>
        <w:jc w:val="left"/>
        <w:rPr>
          <w:rFonts w:hint="eastAsia" w:ascii="仿宋_GB2312" w:hAnsi="仿宋" w:eastAsia="仿宋_GB2312"/>
          <w:sz w:val="24"/>
          <w:u w:val="single"/>
          <w:lang w:val="zh-CN"/>
        </w:rPr>
      </w:pPr>
      <w:r>
        <w:rPr>
          <w:rFonts w:ascii="仿宋_GB2312" w:hAnsi="仿宋" w:eastAsia="仿宋_GB2312"/>
          <w:sz w:val="24"/>
          <w:lang w:val="zh-CN"/>
        </w:rPr>
        <w:t>项目名称：</w:t>
      </w:r>
      <w:r>
        <w:rPr>
          <w:rFonts w:ascii="仿宋_GB2312" w:hAnsi="仿宋" w:eastAsia="仿宋_GB2312"/>
          <w:sz w:val="24"/>
          <w:u w:val="single"/>
          <w:lang w:val="zh-CN"/>
        </w:rPr>
        <w:t xml:space="preserve">   </w:t>
      </w:r>
      <w:r>
        <w:rPr>
          <w:rFonts w:hint="eastAsia" w:ascii="仿宋_GB2312" w:hAnsi="仿宋" w:eastAsia="仿宋_GB2312" w:cstheme="minorBidi"/>
          <w:sz w:val="24"/>
          <w:szCs w:val="22"/>
          <w:u w:val="single"/>
          <w:lang w:val="zh-CN" w:eastAsia="zh-CN"/>
        </w:rPr>
        <w:t>制盐车间离心机配重块建设及基座改造项目</w:t>
      </w:r>
      <w:r>
        <w:rPr>
          <w:rFonts w:ascii="仿宋_GB2312" w:hAnsi="仿宋" w:eastAsia="仿宋_GB2312"/>
          <w:sz w:val="24"/>
          <w:u w:val="single"/>
          <w:lang w:val="zh-CN"/>
        </w:rPr>
        <w:t xml:space="preserve">   </w:t>
      </w:r>
    </w:p>
    <w:tbl>
      <w:tblPr>
        <w:tblStyle w:val="10"/>
        <w:tblW w:w="0" w:type="auto"/>
        <w:tblInd w:w="0" w:type="dxa"/>
        <w:tblLayout w:type="fixed"/>
        <w:tblCellMar>
          <w:top w:w="0" w:type="dxa"/>
          <w:left w:w="108" w:type="dxa"/>
          <w:bottom w:w="0" w:type="dxa"/>
          <w:right w:w="108" w:type="dxa"/>
        </w:tblCellMar>
      </w:tblPr>
      <w:tblGrid>
        <w:gridCol w:w="817"/>
        <w:gridCol w:w="3290"/>
        <w:gridCol w:w="3291"/>
        <w:gridCol w:w="1719"/>
      </w:tblGrid>
      <w:tr>
        <w:tblPrEx>
          <w:tblCellMar>
            <w:top w:w="0" w:type="dxa"/>
            <w:left w:w="108" w:type="dxa"/>
            <w:bottom w:w="0" w:type="dxa"/>
            <w:right w:w="108" w:type="dxa"/>
          </w:tblCellMar>
        </w:tblPrEx>
        <w:trPr>
          <w:trHeight w:val="80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序号</w:t>
            </w:r>
          </w:p>
        </w:tc>
        <w:tc>
          <w:tcPr>
            <w:tcW w:w="329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文件要求</w:t>
            </w:r>
          </w:p>
        </w:tc>
        <w:tc>
          <w:tcPr>
            <w:tcW w:w="329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响应文件响应情况</w:t>
            </w:r>
          </w:p>
        </w:tc>
        <w:tc>
          <w:tcPr>
            <w:tcW w:w="171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偏离情况</w:t>
            </w: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1</w:t>
            </w:r>
          </w:p>
        </w:tc>
        <w:tc>
          <w:tcPr>
            <w:tcW w:w="329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2</w:t>
            </w:r>
          </w:p>
        </w:tc>
        <w:tc>
          <w:tcPr>
            <w:tcW w:w="329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3</w:t>
            </w:r>
          </w:p>
        </w:tc>
        <w:tc>
          <w:tcPr>
            <w:tcW w:w="329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722"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4</w:t>
            </w:r>
          </w:p>
        </w:tc>
        <w:tc>
          <w:tcPr>
            <w:tcW w:w="329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nil"/>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5</w:t>
            </w:r>
          </w:p>
        </w:tc>
        <w:tc>
          <w:tcPr>
            <w:tcW w:w="329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hint="eastAsia" w:ascii="仿宋_GB2312" w:hAnsi="仿宋" w:eastAsia="仿宋_GB2312"/>
                <w:sz w:val="24"/>
                <w:lang w:val="zh-CN"/>
              </w:rPr>
              <w:t>5</w:t>
            </w:r>
          </w:p>
        </w:tc>
        <w:tc>
          <w:tcPr>
            <w:tcW w:w="329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w:t>
            </w:r>
          </w:p>
        </w:tc>
        <w:tc>
          <w:tcPr>
            <w:tcW w:w="329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bl>
    <w:p>
      <w:pPr>
        <w:autoSpaceDE w:val="0"/>
        <w:autoSpaceDN w:val="0"/>
        <w:ind w:firstLine="480" w:firstLineChars="200"/>
        <w:rPr>
          <w:rFonts w:ascii="仿宋_GB2312" w:hAnsi="仿宋" w:eastAsia="仿宋_GB2312"/>
          <w:sz w:val="24"/>
          <w:lang w:val="zh-CN"/>
        </w:rPr>
      </w:pPr>
      <w:r>
        <w:rPr>
          <w:rFonts w:ascii="仿宋_GB2312" w:hAnsi="仿宋" w:eastAsia="仿宋_GB2312"/>
          <w:sz w:val="24"/>
          <w:lang w:val="zh-CN"/>
        </w:rPr>
        <w:t>注：供应商</w:t>
      </w:r>
      <w:r>
        <w:rPr>
          <w:rFonts w:hint="eastAsia" w:ascii="仿宋_GB2312" w:hAnsi="仿宋" w:eastAsia="仿宋_GB2312"/>
          <w:sz w:val="24"/>
          <w:lang w:val="zh-CN"/>
        </w:rPr>
        <w:t>可</w:t>
      </w:r>
      <w:r>
        <w:rPr>
          <w:rFonts w:ascii="仿宋_GB2312" w:hAnsi="仿宋" w:eastAsia="仿宋_GB2312"/>
          <w:sz w:val="24"/>
          <w:lang w:val="zh-CN"/>
        </w:rPr>
        <w:t>根据所报</w:t>
      </w:r>
      <w:r>
        <w:rPr>
          <w:rFonts w:hint="eastAsia" w:ascii="仿宋_GB2312" w:hAnsi="仿宋" w:eastAsia="仿宋_GB2312"/>
          <w:sz w:val="24"/>
          <w:lang w:val="zh-CN"/>
        </w:rPr>
        <w:t>项目的商务条款</w:t>
      </w:r>
      <w:r>
        <w:rPr>
          <w:rFonts w:ascii="仿宋_GB2312" w:hAnsi="仿宋" w:eastAsia="仿宋_GB2312"/>
          <w:sz w:val="24"/>
          <w:lang w:val="zh-CN"/>
        </w:rPr>
        <w:t>、对照</w:t>
      </w:r>
      <w:r>
        <w:rPr>
          <w:rFonts w:hint="eastAsia" w:ascii="仿宋_GB2312" w:hAnsi="仿宋" w:eastAsia="仿宋_GB2312"/>
          <w:sz w:val="24"/>
          <w:lang w:val="zh-CN"/>
        </w:rPr>
        <w:t>招标</w:t>
      </w:r>
      <w:r>
        <w:rPr>
          <w:rFonts w:ascii="仿宋_GB2312" w:hAnsi="仿宋" w:eastAsia="仿宋_GB2312"/>
          <w:sz w:val="24"/>
          <w:lang w:val="zh-CN"/>
        </w:rPr>
        <w:t>文件</w:t>
      </w:r>
      <w:r>
        <w:rPr>
          <w:rFonts w:hint="eastAsia" w:ascii="仿宋_GB2312" w:hAnsi="仿宋" w:eastAsia="仿宋_GB2312"/>
          <w:sz w:val="24"/>
          <w:lang w:val="zh-CN"/>
        </w:rPr>
        <w:t>商务</w:t>
      </w:r>
      <w:r>
        <w:rPr>
          <w:rFonts w:ascii="仿宋_GB2312" w:hAnsi="仿宋" w:eastAsia="仿宋_GB2312"/>
          <w:sz w:val="24"/>
          <w:lang w:val="zh-CN"/>
        </w:rPr>
        <w:t>要求</w:t>
      </w:r>
      <w:r>
        <w:rPr>
          <w:rFonts w:hint="eastAsia" w:ascii="仿宋_GB2312" w:hAnsi="仿宋" w:eastAsia="仿宋_GB2312"/>
          <w:sz w:val="24"/>
          <w:lang w:val="zh-CN"/>
        </w:rPr>
        <w:t>，</w:t>
      </w:r>
      <w:r>
        <w:rPr>
          <w:rFonts w:ascii="仿宋_GB2312" w:hAnsi="仿宋" w:eastAsia="仿宋_GB2312"/>
          <w:sz w:val="24"/>
          <w:lang w:val="zh-CN"/>
        </w:rPr>
        <w:t>在“偏离情况”栏注明“正偏离”</w:t>
      </w:r>
      <w:r>
        <w:rPr>
          <w:rFonts w:hint="eastAsia" w:ascii="仿宋_GB2312" w:hAnsi="仿宋" w:eastAsia="仿宋_GB2312"/>
          <w:sz w:val="24"/>
          <w:lang w:val="zh-CN"/>
        </w:rPr>
        <w:t>、</w:t>
      </w:r>
      <w:r>
        <w:rPr>
          <w:rFonts w:ascii="仿宋_GB2312" w:hAnsi="仿宋" w:eastAsia="仿宋_GB2312"/>
          <w:sz w:val="24"/>
          <w:lang w:val="zh-CN"/>
        </w:rPr>
        <w:t>“负偏离”</w:t>
      </w:r>
      <w:r>
        <w:rPr>
          <w:rFonts w:hint="eastAsia" w:ascii="仿宋_GB2312" w:hAnsi="仿宋" w:eastAsia="仿宋_GB2312"/>
          <w:sz w:val="24"/>
          <w:lang w:val="zh-CN"/>
        </w:rPr>
        <w:t>或“无偏离”，偏离表随投标文件一同递交</w:t>
      </w:r>
      <w:r>
        <w:rPr>
          <w:rFonts w:ascii="仿宋_GB2312" w:hAnsi="仿宋" w:eastAsia="仿宋_GB2312"/>
          <w:sz w:val="24"/>
          <w:lang w:val="zh-CN"/>
        </w:rPr>
        <w:t>。</w:t>
      </w:r>
    </w:p>
    <w:p>
      <w:pPr>
        <w:autoSpaceDE w:val="0"/>
        <w:autoSpaceDN w:val="0"/>
        <w:spacing w:before="50" w:after="50"/>
        <w:rPr>
          <w:rFonts w:ascii="仿宋_GB2312" w:hAnsi="仿宋" w:eastAsia="仿宋_GB2312"/>
          <w:sz w:val="24"/>
          <w:lang w:val="zh-CN"/>
        </w:rPr>
      </w:pPr>
    </w:p>
    <w:p>
      <w:pPr>
        <w:autoSpaceDE w:val="0"/>
        <w:autoSpaceDN w:val="0"/>
        <w:spacing w:before="50" w:after="50"/>
        <w:rPr>
          <w:rFonts w:ascii="仿宋_GB2312" w:hAnsi="仿宋" w:eastAsia="仿宋_GB2312"/>
          <w:sz w:val="24"/>
          <w:lang w:val="zh-CN"/>
        </w:rPr>
      </w:pPr>
    </w:p>
    <w:p>
      <w:pPr>
        <w:autoSpaceDE w:val="0"/>
        <w:autoSpaceDN w:val="0"/>
        <w:spacing w:line="360" w:lineRule="auto"/>
        <w:rPr>
          <w:rFonts w:ascii="仿宋_GB2312" w:hAnsi="仿宋" w:eastAsia="仿宋_GB2312"/>
          <w:sz w:val="24"/>
          <w:lang w:val="zh-CN"/>
        </w:rPr>
      </w:pPr>
      <w:r>
        <w:rPr>
          <w:rFonts w:ascii="仿宋_GB2312" w:hAnsi="仿宋" w:eastAsia="仿宋_GB2312"/>
          <w:sz w:val="24"/>
          <w:lang w:val="zh-CN"/>
        </w:rPr>
        <w:t>供应商名称（公章）：</w:t>
      </w:r>
    </w:p>
    <w:p>
      <w:pPr>
        <w:autoSpaceDE w:val="0"/>
        <w:autoSpaceDN w:val="0"/>
        <w:spacing w:line="360" w:lineRule="auto"/>
        <w:rPr>
          <w:rFonts w:ascii="仿宋_GB2312" w:hAnsi="仿宋" w:eastAsia="仿宋_GB2312"/>
          <w:sz w:val="24"/>
          <w:lang w:val="zh-CN"/>
        </w:rPr>
      </w:pPr>
      <w:r>
        <w:rPr>
          <w:rFonts w:ascii="仿宋_GB2312" w:hAnsi="仿宋" w:eastAsia="仿宋_GB2312"/>
          <w:sz w:val="24"/>
          <w:lang w:val="zh-CN"/>
        </w:rPr>
        <w:t xml:space="preserve">法定代表人或其授权代表（签字）： </w:t>
      </w:r>
    </w:p>
    <w:p>
      <w:pPr>
        <w:autoSpaceDE w:val="0"/>
        <w:autoSpaceDN w:val="0"/>
        <w:spacing w:line="360" w:lineRule="auto"/>
        <w:rPr>
          <w:lang w:val="zh-CN"/>
        </w:rPr>
      </w:pPr>
      <w:r>
        <w:rPr>
          <w:rFonts w:ascii="仿宋_GB2312" w:eastAsia="仿宋_GB2312"/>
          <w:sz w:val="24"/>
          <w:szCs w:val="24"/>
          <w:lang w:val="zh-CN"/>
        </w:rPr>
        <w:t>日期：</w:t>
      </w:r>
      <w:r>
        <w:rPr>
          <w:rFonts w:ascii="仿宋_GB2312" w:eastAsia="仿宋_GB2312"/>
          <w:sz w:val="24"/>
          <w:szCs w:val="24"/>
          <w:u w:val="single"/>
          <w:lang w:val="zh-CN"/>
        </w:rPr>
        <w:t xml:space="preserve">     </w:t>
      </w:r>
      <w:r>
        <w:rPr>
          <w:rFonts w:ascii="仿宋_GB2312" w:eastAsia="仿宋_GB2312"/>
          <w:sz w:val="24"/>
          <w:szCs w:val="24"/>
          <w:lang w:val="zh-CN"/>
        </w:rPr>
        <w:t>年</w:t>
      </w:r>
      <w:r>
        <w:rPr>
          <w:rFonts w:ascii="仿宋_GB2312" w:eastAsia="仿宋_GB2312"/>
          <w:sz w:val="24"/>
          <w:szCs w:val="24"/>
          <w:u w:val="single"/>
          <w:lang w:val="zh-CN"/>
        </w:rPr>
        <w:t xml:space="preserve">     </w:t>
      </w:r>
      <w:r>
        <w:rPr>
          <w:rFonts w:ascii="仿宋_GB2312" w:eastAsia="仿宋_GB2312"/>
          <w:sz w:val="24"/>
          <w:szCs w:val="24"/>
          <w:lang w:val="zh-CN"/>
        </w:rPr>
        <w:t xml:space="preserve"> 月</w:t>
      </w:r>
      <w:r>
        <w:rPr>
          <w:rFonts w:ascii="仿宋_GB2312" w:eastAsia="仿宋_GB2312"/>
          <w:sz w:val="24"/>
          <w:szCs w:val="24"/>
          <w:u w:val="single"/>
          <w:lang w:val="zh-CN"/>
        </w:rPr>
        <w:t xml:space="preserve">   </w:t>
      </w:r>
      <w:r>
        <w:rPr>
          <w:rFonts w:ascii="仿宋_GB2312" w:eastAsia="仿宋_GB2312"/>
          <w:sz w:val="24"/>
          <w:szCs w:val="24"/>
          <w:lang w:val="zh-CN"/>
        </w:rPr>
        <w:t>日</w:t>
      </w:r>
    </w:p>
    <w:p>
      <w:pPr>
        <w:autoSpaceDE w:val="0"/>
        <w:autoSpaceDN w:val="0"/>
        <w:spacing w:line="640" w:lineRule="exact"/>
        <w:rPr>
          <w:rFonts w:ascii="仿宋_GB2312" w:hAnsi="仿宋" w:eastAsia="仿宋_GB2312"/>
          <w:sz w:val="24"/>
          <w:lang w:val="zh-CN"/>
        </w:rPr>
      </w:pPr>
    </w:p>
    <w:p>
      <w:pPr>
        <w:autoSpaceDE w:val="0"/>
        <w:autoSpaceDN w:val="0"/>
        <w:spacing w:line="640" w:lineRule="exact"/>
        <w:rPr>
          <w:rFonts w:ascii="仿宋_GB2312" w:hAnsi="仿宋" w:eastAsia="仿宋_GB2312"/>
          <w:sz w:val="24"/>
          <w:lang w:val="zh-CN"/>
        </w:rPr>
      </w:pPr>
    </w:p>
    <w:p>
      <w:pPr>
        <w:autoSpaceDE w:val="0"/>
        <w:autoSpaceDN w:val="0"/>
        <w:spacing w:line="640" w:lineRule="exact"/>
        <w:rPr>
          <w:rFonts w:ascii="仿宋_GB2312" w:hAnsi="仿宋" w:eastAsia="仿宋_GB2312"/>
          <w:sz w:val="24"/>
          <w:lang w:val="zh-CN"/>
        </w:rPr>
      </w:pPr>
      <w:r>
        <w:rPr>
          <w:rFonts w:ascii="仿宋_GB2312" w:hAnsi="仿宋" w:eastAsia="仿宋_GB2312"/>
          <w:sz w:val="24"/>
          <w:lang w:val="zh-CN"/>
        </w:rPr>
        <w:t>附</w:t>
      </w:r>
      <w:r>
        <w:rPr>
          <w:rFonts w:hint="eastAsia" w:ascii="仿宋_GB2312" w:hAnsi="仿宋" w:eastAsia="仿宋_GB2312"/>
          <w:sz w:val="24"/>
          <w:lang w:val="zh-CN"/>
        </w:rPr>
        <w:t>表三</w:t>
      </w:r>
      <w:r>
        <w:rPr>
          <w:rFonts w:ascii="仿宋_GB2312" w:hAnsi="仿宋" w:eastAsia="仿宋_GB2312"/>
          <w:sz w:val="24"/>
          <w:lang w:val="zh-CN"/>
        </w:rPr>
        <w:t xml:space="preserve">： </w:t>
      </w:r>
    </w:p>
    <w:p>
      <w:pPr>
        <w:autoSpaceDE w:val="0"/>
        <w:autoSpaceDN w:val="0"/>
        <w:spacing w:before="120" w:after="120" w:line="300" w:lineRule="auto"/>
        <w:jc w:val="center"/>
        <w:rPr>
          <w:rFonts w:ascii="黑体" w:hAnsi="Arial" w:eastAsia="黑体"/>
          <w:sz w:val="30"/>
          <w:szCs w:val="30"/>
          <w:lang w:val="zh-CN"/>
        </w:rPr>
      </w:pPr>
      <w:r>
        <w:rPr>
          <w:rFonts w:ascii="黑体" w:hAnsi="Arial" w:eastAsia="黑体"/>
          <w:sz w:val="30"/>
          <w:szCs w:val="30"/>
          <w:lang w:val="zh-CN"/>
        </w:rPr>
        <w:t>技术偏离表</w:t>
      </w:r>
    </w:p>
    <w:p>
      <w:pPr>
        <w:jc w:val="center"/>
        <w:rPr>
          <w:rFonts w:ascii="宋体" w:hAnsi="Arial"/>
          <w:sz w:val="28"/>
          <w:lang w:val="zh-CN"/>
        </w:rPr>
      </w:pPr>
    </w:p>
    <w:p>
      <w:pPr>
        <w:autoSpaceDE w:val="0"/>
        <w:autoSpaceDN w:val="0"/>
        <w:spacing w:after="240"/>
        <w:rPr>
          <w:rFonts w:ascii="仿宋_GB2312" w:hAnsi="仿宋" w:eastAsia="仿宋_GB2312"/>
          <w:sz w:val="24"/>
          <w:lang w:val="zh-CN"/>
        </w:rPr>
      </w:pPr>
      <w:r>
        <w:rPr>
          <w:rFonts w:ascii="仿宋_GB2312" w:hAnsi="仿宋" w:eastAsia="仿宋_GB2312"/>
          <w:sz w:val="24"/>
          <w:lang w:val="zh-CN"/>
        </w:rPr>
        <w:t>项目名称：</w:t>
      </w:r>
      <w:r>
        <w:rPr>
          <w:rFonts w:ascii="仿宋_GB2312" w:hAnsi="仿宋" w:eastAsia="仿宋_GB2312"/>
          <w:sz w:val="24"/>
          <w:u w:val="single"/>
          <w:lang w:val="zh-CN"/>
        </w:rPr>
        <w:t xml:space="preserve">    </w:t>
      </w:r>
      <w:r>
        <w:rPr>
          <w:rFonts w:hint="eastAsia" w:ascii="仿宋_GB2312" w:hAnsi="仿宋" w:eastAsia="仿宋_GB2312" w:cstheme="minorBidi"/>
          <w:sz w:val="24"/>
          <w:szCs w:val="22"/>
          <w:u w:val="single"/>
          <w:lang w:val="zh-CN" w:eastAsia="zh-CN"/>
        </w:rPr>
        <w:t>制盐车间离心机配重块建设及基座改造项目</w:t>
      </w:r>
      <w:r>
        <w:rPr>
          <w:rFonts w:ascii="仿宋_GB2312" w:hAnsi="仿宋" w:eastAsia="仿宋_GB2312"/>
          <w:sz w:val="24"/>
          <w:u w:val="single"/>
          <w:lang w:val="zh-CN"/>
        </w:rPr>
        <w:t xml:space="preserve">        </w:t>
      </w:r>
      <w:r>
        <w:rPr>
          <w:rFonts w:ascii="仿宋_GB2312" w:hAnsi="仿宋" w:eastAsia="仿宋_GB2312"/>
          <w:sz w:val="24"/>
          <w:lang w:val="zh-CN"/>
        </w:rPr>
        <w:t xml:space="preserve"> </w:t>
      </w:r>
    </w:p>
    <w:tbl>
      <w:tblPr>
        <w:tblStyle w:val="10"/>
        <w:tblW w:w="0" w:type="auto"/>
        <w:tblInd w:w="0" w:type="dxa"/>
        <w:tblLayout w:type="fixed"/>
        <w:tblCellMar>
          <w:top w:w="0" w:type="dxa"/>
          <w:left w:w="108" w:type="dxa"/>
          <w:bottom w:w="0" w:type="dxa"/>
          <w:right w:w="108" w:type="dxa"/>
        </w:tblCellMar>
      </w:tblPr>
      <w:tblGrid>
        <w:gridCol w:w="817"/>
        <w:gridCol w:w="3079"/>
        <w:gridCol w:w="3079"/>
        <w:gridCol w:w="2100"/>
      </w:tblGrid>
      <w:tr>
        <w:tblPrEx>
          <w:tblCellMar>
            <w:top w:w="0" w:type="dxa"/>
            <w:left w:w="108" w:type="dxa"/>
            <w:bottom w:w="0" w:type="dxa"/>
            <w:right w:w="108" w:type="dxa"/>
          </w:tblCellMar>
        </w:tblPrEx>
        <w:trPr>
          <w:trHeight w:val="80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序号</w:t>
            </w:r>
          </w:p>
        </w:tc>
        <w:tc>
          <w:tcPr>
            <w:tcW w:w="3079"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文件要求</w:t>
            </w:r>
          </w:p>
        </w:tc>
        <w:tc>
          <w:tcPr>
            <w:tcW w:w="307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响应文件响应情况</w:t>
            </w:r>
          </w:p>
        </w:tc>
        <w:tc>
          <w:tcPr>
            <w:tcW w:w="21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偏离情况</w:t>
            </w: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1</w:t>
            </w:r>
          </w:p>
        </w:tc>
        <w:tc>
          <w:tcPr>
            <w:tcW w:w="3079"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2</w:t>
            </w:r>
          </w:p>
        </w:tc>
        <w:tc>
          <w:tcPr>
            <w:tcW w:w="3079"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3</w:t>
            </w:r>
          </w:p>
        </w:tc>
        <w:tc>
          <w:tcPr>
            <w:tcW w:w="3079"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722"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4</w:t>
            </w:r>
          </w:p>
        </w:tc>
        <w:tc>
          <w:tcPr>
            <w:tcW w:w="3079"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nil"/>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5</w:t>
            </w:r>
          </w:p>
        </w:tc>
        <w:tc>
          <w:tcPr>
            <w:tcW w:w="3079"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hint="eastAsia" w:ascii="仿宋_GB2312" w:hAnsi="仿宋" w:eastAsia="仿宋_GB2312"/>
                <w:sz w:val="24"/>
                <w:lang w:val="zh-CN"/>
              </w:rPr>
              <w:t>5</w:t>
            </w:r>
          </w:p>
        </w:tc>
        <w:tc>
          <w:tcPr>
            <w:tcW w:w="3079"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w:t>
            </w:r>
          </w:p>
        </w:tc>
        <w:tc>
          <w:tcPr>
            <w:tcW w:w="3079"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ascii="仿宋_GB2312" w:hAnsi="仿宋" w:eastAsia="仿宋_GB2312"/>
                <w:sz w:val="24"/>
                <w:lang w:val="zh-CN"/>
              </w:rPr>
            </w:pPr>
          </w:p>
        </w:tc>
      </w:tr>
    </w:tbl>
    <w:p>
      <w:pPr>
        <w:autoSpaceDE w:val="0"/>
        <w:autoSpaceDN w:val="0"/>
        <w:ind w:firstLine="480" w:firstLineChars="200"/>
        <w:rPr>
          <w:rFonts w:ascii="仿宋_GB2312" w:hAnsi="仿宋" w:eastAsia="仿宋_GB2312"/>
          <w:sz w:val="24"/>
          <w:lang w:val="zh-CN"/>
        </w:rPr>
      </w:pPr>
      <w:r>
        <w:rPr>
          <w:rFonts w:ascii="仿宋_GB2312" w:hAnsi="仿宋" w:eastAsia="仿宋_GB2312"/>
          <w:sz w:val="24"/>
          <w:lang w:val="zh-CN"/>
        </w:rPr>
        <w:t>注：供应商</w:t>
      </w:r>
      <w:r>
        <w:rPr>
          <w:rFonts w:hint="eastAsia" w:ascii="仿宋_GB2312" w:hAnsi="仿宋" w:eastAsia="仿宋_GB2312"/>
          <w:sz w:val="24"/>
          <w:lang w:val="zh-CN"/>
        </w:rPr>
        <w:t>可</w:t>
      </w:r>
      <w:r>
        <w:rPr>
          <w:rFonts w:ascii="仿宋_GB2312" w:hAnsi="仿宋" w:eastAsia="仿宋_GB2312"/>
          <w:sz w:val="24"/>
          <w:lang w:val="zh-CN"/>
        </w:rPr>
        <w:t>根据所报</w:t>
      </w:r>
      <w:r>
        <w:rPr>
          <w:rFonts w:hint="eastAsia" w:ascii="仿宋_GB2312" w:hAnsi="仿宋" w:eastAsia="仿宋_GB2312"/>
          <w:sz w:val="24"/>
          <w:lang w:val="zh-CN"/>
        </w:rPr>
        <w:t>项目</w:t>
      </w:r>
      <w:r>
        <w:rPr>
          <w:rFonts w:ascii="仿宋_GB2312" w:hAnsi="仿宋" w:eastAsia="仿宋_GB2312"/>
          <w:sz w:val="24"/>
          <w:lang w:val="zh-CN"/>
        </w:rPr>
        <w:t>的性能指标、对照</w:t>
      </w:r>
      <w:r>
        <w:rPr>
          <w:rFonts w:hint="eastAsia" w:ascii="仿宋_GB2312" w:hAnsi="仿宋" w:eastAsia="仿宋_GB2312"/>
          <w:sz w:val="24"/>
          <w:lang w:val="zh-CN"/>
        </w:rPr>
        <w:t>招标文件技术</w:t>
      </w:r>
      <w:r>
        <w:rPr>
          <w:rFonts w:ascii="仿宋_GB2312" w:hAnsi="仿宋" w:eastAsia="仿宋_GB2312"/>
          <w:sz w:val="24"/>
          <w:lang w:val="zh-CN"/>
        </w:rPr>
        <w:t>要求</w:t>
      </w:r>
      <w:r>
        <w:rPr>
          <w:rFonts w:hint="eastAsia" w:ascii="仿宋_GB2312" w:hAnsi="仿宋" w:eastAsia="仿宋_GB2312"/>
          <w:sz w:val="24"/>
          <w:lang w:val="zh-CN"/>
        </w:rPr>
        <w:t>，</w:t>
      </w:r>
      <w:r>
        <w:rPr>
          <w:rFonts w:ascii="仿宋_GB2312" w:hAnsi="仿宋" w:eastAsia="仿宋_GB2312"/>
          <w:sz w:val="24"/>
          <w:lang w:val="zh-CN"/>
        </w:rPr>
        <w:t>在“偏离情况”栏注明“正偏离”、“负偏离”或者“无偏离”</w:t>
      </w:r>
      <w:r>
        <w:rPr>
          <w:rFonts w:hint="eastAsia" w:ascii="仿宋_GB2312" w:hAnsi="仿宋" w:eastAsia="仿宋_GB2312"/>
          <w:sz w:val="24"/>
          <w:lang w:val="zh-CN"/>
        </w:rPr>
        <w:t>，偏离表随投标文件一同递交</w:t>
      </w:r>
      <w:r>
        <w:rPr>
          <w:rFonts w:ascii="仿宋_GB2312" w:hAnsi="仿宋" w:eastAsia="仿宋_GB2312"/>
          <w:sz w:val="24"/>
          <w:lang w:val="zh-CN"/>
        </w:rPr>
        <w:t>。</w:t>
      </w:r>
    </w:p>
    <w:p>
      <w:pPr>
        <w:autoSpaceDE w:val="0"/>
        <w:autoSpaceDN w:val="0"/>
        <w:spacing w:before="50" w:after="50"/>
        <w:rPr>
          <w:rFonts w:ascii="仿宋_GB2312" w:hAnsi="仿宋" w:eastAsia="仿宋_GB2312"/>
          <w:sz w:val="24"/>
          <w:lang w:val="zh-CN"/>
        </w:rPr>
      </w:pPr>
    </w:p>
    <w:p>
      <w:pPr>
        <w:autoSpaceDE w:val="0"/>
        <w:autoSpaceDN w:val="0"/>
        <w:spacing w:before="50" w:after="50"/>
        <w:rPr>
          <w:rFonts w:ascii="仿宋_GB2312" w:hAnsi="仿宋" w:eastAsia="仿宋_GB2312"/>
          <w:sz w:val="24"/>
          <w:lang w:val="zh-CN"/>
        </w:rPr>
      </w:pPr>
    </w:p>
    <w:p>
      <w:pPr>
        <w:autoSpaceDE w:val="0"/>
        <w:autoSpaceDN w:val="0"/>
        <w:spacing w:line="360" w:lineRule="auto"/>
        <w:rPr>
          <w:rFonts w:ascii="仿宋_GB2312" w:hAnsi="仿宋" w:eastAsia="仿宋_GB2312"/>
          <w:sz w:val="24"/>
          <w:lang w:val="zh-CN"/>
        </w:rPr>
      </w:pPr>
      <w:r>
        <w:rPr>
          <w:rFonts w:ascii="仿宋_GB2312" w:hAnsi="仿宋" w:eastAsia="仿宋_GB2312"/>
          <w:sz w:val="24"/>
          <w:lang w:val="zh-CN"/>
        </w:rPr>
        <w:t>供应商名称（公章）：</w:t>
      </w:r>
    </w:p>
    <w:p>
      <w:pPr>
        <w:autoSpaceDE w:val="0"/>
        <w:autoSpaceDN w:val="0"/>
        <w:spacing w:line="360" w:lineRule="auto"/>
        <w:rPr>
          <w:rFonts w:ascii="仿宋_GB2312" w:hAnsi="仿宋" w:eastAsia="仿宋_GB2312"/>
          <w:sz w:val="24"/>
          <w:lang w:val="zh-CN"/>
        </w:rPr>
      </w:pPr>
      <w:r>
        <w:rPr>
          <w:rFonts w:ascii="仿宋_GB2312" w:hAnsi="仿宋" w:eastAsia="仿宋_GB2312"/>
          <w:sz w:val="24"/>
          <w:lang w:val="zh-CN"/>
        </w:rPr>
        <w:t xml:space="preserve">法定代表人或其授权代表（签字）： </w:t>
      </w:r>
    </w:p>
    <w:p>
      <w:pPr>
        <w:autoSpaceDE w:val="0"/>
        <w:autoSpaceDN w:val="0"/>
        <w:spacing w:line="360" w:lineRule="auto"/>
        <w:rPr>
          <w:rFonts w:ascii="仿宋_GB2312" w:eastAsia="仿宋_GB2312"/>
          <w:sz w:val="24"/>
          <w:szCs w:val="24"/>
          <w:lang w:val="zh-CN"/>
        </w:rPr>
      </w:pPr>
      <w:r>
        <w:rPr>
          <w:rFonts w:ascii="仿宋_GB2312" w:eastAsia="仿宋_GB2312"/>
          <w:sz w:val="24"/>
          <w:szCs w:val="24"/>
          <w:lang w:val="zh-CN"/>
        </w:rPr>
        <w:t>日期：</w:t>
      </w:r>
      <w:r>
        <w:rPr>
          <w:rFonts w:ascii="仿宋_GB2312" w:eastAsia="仿宋_GB2312"/>
          <w:sz w:val="24"/>
          <w:szCs w:val="24"/>
          <w:u w:val="single"/>
          <w:lang w:val="zh-CN"/>
        </w:rPr>
        <w:t xml:space="preserve">     </w:t>
      </w:r>
      <w:r>
        <w:rPr>
          <w:rFonts w:ascii="仿宋_GB2312" w:eastAsia="仿宋_GB2312"/>
          <w:sz w:val="24"/>
          <w:szCs w:val="24"/>
          <w:lang w:val="zh-CN"/>
        </w:rPr>
        <w:t>年</w:t>
      </w:r>
      <w:r>
        <w:rPr>
          <w:rFonts w:ascii="仿宋_GB2312" w:eastAsia="仿宋_GB2312"/>
          <w:sz w:val="24"/>
          <w:szCs w:val="24"/>
          <w:u w:val="single"/>
          <w:lang w:val="zh-CN"/>
        </w:rPr>
        <w:t xml:space="preserve">     </w:t>
      </w:r>
      <w:r>
        <w:rPr>
          <w:rFonts w:ascii="仿宋_GB2312" w:eastAsia="仿宋_GB2312"/>
          <w:sz w:val="24"/>
          <w:szCs w:val="24"/>
          <w:lang w:val="zh-CN"/>
        </w:rPr>
        <w:t xml:space="preserve"> 月</w:t>
      </w:r>
      <w:r>
        <w:rPr>
          <w:rFonts w:ascii="仿宋_GB2312" w:eastAsia="仿宋_GB2312"/>
          <w:sz w:val="24"/>
          <w:szCs w:val="24"/>
          <w:u w:val="single"/>
          <w:lang w:val="zh-CN"/>
        </w:rPr>
        <w:t xml:space="preserve">   </w:t>
      </w:r>
      <w:r>
        <w:rPr>
          <w:rFonts w:ascii="仿宋_GB2312" w:eastAsia="仿宋_GB2312"/>
          <w:sz w:val="24"/>
          <w:szCs w:val="24"/>
          <w:lang w:val="zh-CN"/>
        </w:rPr>
        <w:t>日</w:t>
      </w:r>
    </w:p>
    <w:p>
      <w:pPr>
        <w:rPr>
          <w:rFonts w:hint="eastAsia"/>
          <w:lang w:eastAsia="zh-CN"/>
        </w:rPr>
      </w:pPr>
    </w:p>
    <w:p>
      <w:pPr>
        <w:autoSpaceDE w:val="0"/>
        <w:autoSpaceDN w:val="0"/>
        <w:spacing w:line="640" w:lineRule="exact"/>
        <w:rPr>
          <w:rFonts w:hint="eastAsia"/>
          <w:lang w:eastAsia="zh-CN"/>
        </w:rPr>
      </w:pPr>
    </w:p>
    <w:sectPr>
      <w:footerReference r:id="rId3" w:type="default"/>
      <w:pgSz w:w="11906" w:h="16838"/>
      <w:pgMar w:top="1418" w:right="1587" w:bottom="1418" w:left="1587"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im Sun">
    <w:altName w:val="微软雅黑"/>
    <w:panose1 w:val="00000000000000000000"/>
    <w:charset w:val="86"/>
    <w:family w:val="auto"/>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68223"/>
    </w:sdtPr>
    <w:sdtEndPr>
      <w:rPr>
        <w:rFonts w:asciiTheme="minorEastAsia" w:hAnsiTheme="minorEastAsia" w:eastAsiaTheme="minorEastAsia"/>
        <w:sz w:val="28"/>
        <w:szCs w:val="28"/>
      </w:rPr>
    </w:sdtEndPr>
    <w:sdtContent>
      <w:p>
        <w:pPr>
          <w:pStyle w:val="8"/>
          <w:jc w:val="cente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- 1 -</w:t>
        </w:r>
        <w:r>
          <w:rPr>
            <w:rFonts w:asciiTheme="minorEastAsia" w:hAnsiTheme="minorEastAsia" w:eastAsiaTheme="minorEastAsia"/>
            <w:sz w:val="28"/>
            <w:szCs w:val="28"/>
          </w:rP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jYjYxNzIwZWYwMTExNzc0OTgwMzc5MTI0MWRhZTcifQ=="/>
  </w:docVars>
  <w:rsids>
    <w:rsidRoot w:val="00172A27"/>
    <w:rsid w:val="0001314A"/>
    <w:rsid w:val="000149AB"/>
    <w:rsid w:val="000263F8"/>
    <w:rsid w:val="000A6233"/>
    <w:rsid w:val="001137D5"/>
    <w:rsid w:val="00130E23"/>
    <w:rsid w:val="00143B7D"/>
    <w:rsid w:val="0015385D"/>
    <w:rsid w:val="0017255E"/>
    <w:rsid w:val="00186E63"/>
    <w:rsid w:val="001B29C7"/>
    <w:rsid w:val="001B7AAA"/>
    <w:rsid w:val="001D05DD"/>
    <w:rsid w:val="001D1D0D"/>
    <w:rsid w:val="001F73AD"/>
    <w:rsid w:val="00224430"/>
    <w:rsid w:val="002A60C4"/>
    <w:rsid w:val="0031053B"/>
    <w:rsid w:val="0031183A"/>
    <w:rsid w:val="00365574"/>
    <w:rsid w:val="0037287E"/>
    <w:rsid w:val="00383603"/>
    <w:rsid w:val="00392A16"/>
    <w:rsid w:val="003C17D2"/>
    <w:rsid w:val="00431720"/>
    <w:rsid w:val="0048045A"/>
    <w:rsid w:val="00482143"/>
    <w:rsid w:val="00511AD1"/>
    <w:rsid w:val="00523242"/>
    <w:rsid w:val="00562AE5"/>
    <w:rsid w:val="005B59AB"/>
    <w:rsid w:val="005D05AF"/>
    <w:rsid w:val="00615380"/>
    <w:rsid w:val="00633D00"/>
    <w:rsid w:val="0064165D"/>
    <w:rsid w:val="00645913"/>
    <w:rsid w:val="0064635A"/>
    <w:rsid w:val="00663837"/>
    <w:rsid w:val="006645B4"/>
    <w:rsid w:val="00696E20"/>
    <w:rsid w:val="006B658D"/>
    <w:rsid w:val="006C3C42"/>
    <w:rsid w:val="006D1C94"/>
    <w:rsid w:val="006D54D3"/>
    <w:rsid w:val="00702562"/>
    <w:rsid w:val="007050AC"/>
    <w:rsid w:val="00707552"/>
    <w:rsid w:val="00707B46"/>
    <w:rsid w:val="00712B61"/>
    <w:rsid w:val="00724FAF"/>
    <w:rsid w:val="007345CA"/>
    <w:rsid w:val="007530C7"/>
    <w:rsid w:val="007717FD"/>
    <w:rsid w:val="00774AA8"/>
    <w:rsid w:val="007D254D"/>
    <w:rsid w:val="007D5541"/>
    <w:rsid w:val="007D66EB"/>
    <w:rsid w:val="007F1FA5"/>
    <w:rsid w:val="008665CB"/>
    <w:rsid w:val="00882681"/>
    <w:rsid w:val="008A394D"/>
    <w:rsid w:val="008E1B69"/>
    <w:rsid w:val="008E1D95"/>
    <w:rsid w:val="00927EF2"/>
    <w:rsid w:val="00941DC3"/>
    <w:rsid w:val="0094594F"/>
    <w:rsid w:val="00967DB3"/>
    <w:rsid w:val="00991830"/>
    <w:rsid w:val="009B2BFE"/>
    <w:rsid w:val="009C0AEE"/>
    <w:rsid w:val="00A1192A"/>
    <w:rsid w:val="00A314E2"/>
    <w:rsid w:val="00A821A7"/>
    <w:rsid w:val="00A8614E"/>
    <w:rsid w:val="00AC1DE0"/>
    <w:rsid w:val="00B205A2"/>
    <w:rsid w:val="00B31EF5"/>
    <w:rsid w:val="00B33D49"/>
    <w:rsid w:val="00B34312"/>
    <w:rsid w:val="00B73734"/>
    <w:rsid w:val="00B95D74"/>
    <w:rsid w:val="00BA680E"/>
    <w:rsid w:val="00BD5397"/>
    <w:rsid w:val="00BF3E3B"/>
    <w:rsid w:val="00C070D6"/>
    <w:rsid w:val="00C13AC9"/>
    <w:rsid w:val="00C232C6"/>
    <w:rsid w:val="00C351FF"/>
    <w:rsid w:val="00C61F6F"/>
    <w:rsid w:val="00C758C9"/>
    <w:rsid w:val="00C97CB9"/>
    <w:rsid w:val="00CF7828"/>
    <w:rsid w:val="00D677CD"/>
    <w:rsid w:val="00D83219"/>
    <w:rsid w:val="00D91C5A"/>
    <w:rsid w:val="00DA4613"/>
    <w:rsid w:val="00DC1DD6"/>
    <w:rsid w:val="00DC5DA5"/>
    <w:rsid w:val="00DD0516"/>
    <w:rsid w:val="00DD673B"/>
    <w:rsid w:val="00E0423E"/>
    <w:rsid w:val="00E301CB"/>
    <w:rsid w:val="00E31898"/>
    <w:rsid w:val="00E37F37"/>
    <w:rsid w:val="00E45453"/>
    <w:rsid w:val="00E613EB"/>
    <w:rsid w:val="00EA2274"/>
    <w:rsid w:val="00EB4F35"/>
    <w:rsid w:val="00EB6236"/>
    <w:rsid w:val="00ED7734"/>
    <w:rsid w:val="00F64B2B"/>
    <w:rsid w:val="00F83D6E"/>
    <w:rsid w:val="00FD1F91"/>
    <w:rsid w:val="012A058D"/>
    <w:rsid w:val="02A5230F"/>
    <w:rsid w:val="03100052"/>
    <w:rsid w:val="03D1726D"/>
    <w:rsid w:val="04B17A84"/>
    <w:rsid w:val="057D4BE3"/>
    <w:rsid w:val="069755E0"/>
    <w:rsid w:val="089808CE"/>
    <w:rsid w:val="091D1F66"/>
    <w:rsid w:val="0A4253D3"/>
    <w:rsid w:val="0A6D68B1"/>
    <w:rsid w:val="0AB02221"/>
    <w:rsid w:val="0BB10D4F"/>
    <w:rsid w:val="0BCA048F"/>
    <w:rsid w:val="0CAD2D51"/>
    <w:rsid w:val="0CB74F37"/>
    <w:rsid w:val="0DB80BBA"/>
    <w:rsid w:val="0F175A76"/>
    <w:rsid w:val="0FBC7598"/>
    <w:rsid w:val="100B0CBA"/>
    <w:rsid w:val="106047C8"/>
    <w:rsid w:val="138B0CB1"/>
    <w:rsid w:val="154342FD"/>
    <w:rsid w:val="159D452E"/>
    <w:rsid w:val="167C7F82"/>
    <w:rsid w:val="16E8555F"/>
    <w:rsid w:val="19133878"/>
    <w:rsid w:val="1B861BBC"/>
    <w:rsid w:val="1E623FD6"/>
    <w:rsid w:val="1E6325EF"/>
    <w:rsid w:val="1E7C727F"/>
    <w:rsid w:val="1F777037"/>
    <w:rsid w:val="20270FCD"/>
    <w:rsid w:val="21EA18AD"/>
    <w:rsid w:val="240E3DAA"/>
    <w:rsid w:val="24860255"/>
    <w:rsid w:val="24990161"/>
    <w:rsid w:val="258779D8"/>
    <w:rsid w:val="268B0983"/>
    <w:rsid w:val="28D27B04"/>
    <w:rsid w:val="29C4587E"/>
    <w:rsid w:val="29EA6657"/>
    <w:rsid w:val="2A9D68A5"/>
    <w:rsid w:val="2AAF4C72"/>
    <w:rsid w:val="2B9C4B6B"/>
    <w:rsid w:val="2C9B7B11"/>
    <w:rsid w:val="2CC048AF"/>
    <w:rsid w:val="2CC7158E"/>
    <w:rsid w:val="2E6C33BC"/>
    <w:rsid w:val="2EC871E4"/>
    <w:rsid w:val="2F8D6E1D"/>
    <w:rsid w:val="2FE92250"/>
    <w:rsid w:val="2FEC2F3D"/>
    <w:rsid w:val="30562FA1"/>
    <w:rsid w:val="31413B7F"/>
    <w:rsid w:val="33317CB2"/>
    <w:rsid w:val="35116E69"/>
    <w:rsid w:val="355410AE"/>
    <w:rsid w:val="370C5E5F"/>
    <w:rsid w:val="37240058"/>
    <w:rsid w:val="39363CB0"/>
    <w:rsid w:val="3B7A35D8"/>
    <w:rsid w:val="3D12064C"/>
    <w:rsid w:val="3E3C1261"/>
    <w:rsid w:val="409E00B6"/>
    <w:rsid w:val="41773A03"/>
    <w:rsid w:val="44656DC0"/>
    <w:rsid w:val="446C3951"/>
    <w:rsid w:val="474362F1"/>
    <w:rsid w:val="496B2BA7"/>
    <w:rsid w:val="49B87869"/>
    <w:rsid w:val="4AE0443D"/>
    <w:rsid w:val="4C6B08E0"/>
    <w:rsid w:val="4C8449BE"/>
    <w:rsid w:val="4C871B0C"/>
    <w:rsid w:val="4FF202B4"/>
    <w:rsid w:val="50FC6B65"/>
    <w:rsid w:val="51A1586A"/>
    <w:rsid w:val="51DE5EF9"/>
    <w:rsid w:val="5256144B"/>
    <w:rsid w:val="527A416D"/>
    <w:rsid w:val="53061A33"/>
    <w:rsid w:val="531813D7"/>
    <w:rsid w:val="53761176"/>
    <w:rsid w:val="56FA3EC8"/>
    <w:rsid w:val="57442FB3"/>
    <w:rsid w:val="57460AC2"/>
    <w:rsid w:val="58B07579"/>
    <w:rsid w:val="5915699E"/>
    <w:rsid w:val="59751278"/>
    <w:rsid w:val="5A694839"/>
    <w:rsid w:val="5A936001"/>
    <w:rsid w:val="5B8E302E"/>
    <w:rsid w:val="5C4A15A7"/>
    <w:rsid w:val="5D317D47"/>
    <w:rsid w:val="5FA1715B"/>
    <w:rsid w:val="61952E57"/>
    <w:rsid w:val="628338D5"/>
    <w:rsid w:val="63350368"/>
    <w:rsid w:val="64176ECE"/>
    <w:rsid w:val="674D777B"/>
    <w:rsid w:val="680A5162"/>
    <w:rsid w:val="686E72A5"/>
    <w:rsid w:val="6A585F3B"/>
    <w:rsid w:val="6BAD1CAE"/>
    <w:rsid w:val="6BD2609F"/>
    <w:rsid w:val="6C204A8C"/>
    <w:rsid w:val="6C6C6CE1"/>
    <w:rsid w:val="6DEB68CD"/>
    <w:rsid w:val="6EA46444"/>
    <w:rsid w:val="6ECE7F2B"/>
    <w:rsid w:val="718039A4"/>
    <w:rsid w:val="71C477E1"/>
    <w:rsid w:val="71D67CD0"/>
    <w:rsid w:val="724F22C8"/>
    <w:rsid w:val="73D62658"/>
    <w:rsid w:val="75B830DF"/>
    <w:rsid w:val="761B566E"/>
    <w:rsid w:val="768B5CF7"/>
    <w:rsid w:val="76F31295"/>
    <w:rsid w:val="77D35088"/>
    <w:rsid w:val="7A6335B5"/>
    <w:rsid w:val="7B713E76"/>
    <w:rsid w:val="7BA218D7"/>
    <w:rsid w:val="7C3E5C19"/>
    <w:rsid w:val="7D0823E1"/>
    <w:rsid w:val="7D37140C"/>
    <w:rsid w:val="7E0539B2"/>
    <w:rsid w:val="7E995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4">
    <w:name w:val="Body Text"/>
    <w:basedOn w:val="1"/>
    <w:next w:val="5"/>
    <w:qFormat/>
    <w:uiPriority w:val="0"/>
    <w:rPr>
      <w:sz w:val="24"/>
      <w:szCs w:val="24"/>
    </w:rPr>
  </w:style>
  <w:style w:type="paragraph" w:customStyle="1" w:styleId="5">
    <w:name w:val="Default"/>
    <w:qFormat/>
    <w:uiPriority w:val="0"/>
    <w:pPr>
      <w:widowControl w:val="0"/>
      <w:autoSpaceDE w:val="0"/>
      <w:autoSpaceDN w:val="0"/>
      <w:adjustRightInd w:val="0"/>
    </w:pPr>
    <w:rPr>
      <w:rFonts w:ascii="Sim Sun" w:hAnsi="Times New Roman" w:eastAsia="Sim Sun" w:cs="Sim Sun"/>
      <w:color w:val="000000"/>
      <w:sz w:val="24"/>
      <w:szCs w:val="24"/>
      <w:lang w:val="en-US" w:eastAsia="zh-CN" w:bidi="ar-SA"/>
    </w:rPr>
  </w:style>
  <w:style w:type="paragraph" w:styleId="6">
    <w:name w:val="Date"/>
    <w:basedOn w:val="1"/>
    <w:next w:val="1"/>
    <w:link w:val="17"/>
    <w:semiHidden/>
    <w:unhideWhenUsed/>
    <w:qFormat/>
    <w:uiPriority w:val="99"/>
    <w:pPr>
      <w:ind w:left="100" w:leftChars="2500"/>
    </w:pPr>
  </w:style>
  <w:style w:type="paragraph" w:styleId="7">
    <w:name w:val="Balloon Text"/>
    <w:basedOn w:val="1"/>
    <w:link w:val="18"/>
    <w:semiHidden/>
    <w:unhideWhenUsed/>
    <w:qFormat/>
    <w:uiPriority w:val="99"/>
    <w:rPr>
      <w:sz w:val="18"/>
      <w:szCs w:val="18"/>
    </w:rPr>
  </w:style>
  <w:style w:type="paragraph" w:styleId="8">
    <w:name w:val="footer"/>
    <w:basedOn w:val="1"/>
    <w:link w:val="15"/>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page number"/>
    <w:basedOn w:val="12"/>
    <w:qFormat/>
    <w:uiPriority w:val="99"/>
  </w:style>
  <w:style w:type="character" w:styleId="14">
    <w:name w:val="Hyperlink"/>
    <w:basedOn w:val="12"/>
    <w:unhideWhenUsed/>
    <w:qFormat/>
    <w:uiPriority w:val="99"/>
    <w:rPr>
      <w:color w:val="0000FF" w:themeColor="hyperlink"/>
      <w:u w:val="single"/>
      <w14:textFill>
        <w14:solidFill>
          <w14:schemeClr w14:val="hlink"/>
        </w14:solidFill>
      </w14:textFill>
    </w:rPr>
  </w:style>
  <w:style w:type="character" w:customStyle="1" w:styleId="15">
    <w:name w:val="页脚 Char"/>
    <w:basedOn w:val="12"/>
    <w:link w:val="8"/>
    <w:qFormat/>
    <w:uiPriority w:val="99"/>
    <w:rPr>
      <w:rFonts w:ascii="Times New Roman" w:hAnsi="Times New Roman" w:eastAsia="宋体" w:cs="Times New Roman"/>
      <w:sz w:val="18"/>
      <w:szCs w:val="18"/>
    </w:rPr>
  </w:style>
  <w:style w:type="character" w:customStyle="1" w:styleId="16">
    <w:name w:val="页眉 Char"/>
    <w:basedOn w:val="12"/>
    <w:link w:val="9"/>
    <w:qFormat/>
    <w:uiPriority w:val="99"/>
    <w:rPr>
      <w:sz w:val="18"/>
      <w:szCs w:val="18"/>
    </w:rPr>
  </w:style>
  <w:style w:type="character" w:customStyle="1" w:styleId="17">
    <w:name w:val="日期 Char"/>
    <w:basedOn w:val="12"/>
    <w:link w:val="6"/>
    <w:semiHidden/>
    <w:qFormat/>
    <w:uiPriority w:val="99"/>
  </w:style>
  <w:style w:type="character" w:customStyle="1" w:styleId="18">
    <w:name w:val="批注框文本 Char"/>
    <w:basedOn w:val="12"/>
    <w:link w:val="7"/>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emf"/><Relationship Id="rId16" Type="http://schemas.openxmlformats.org/officeDocument/2006/relationships/oleObject" Target="embeddings/oleObject3.bin"/><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884A7-86FB-4924-B6FF-3DA89EDC875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8413</Words>
  <Characters>8908</Characters>
  <Lines>48</Lines>
  <Paragraphs>13</Paragraphs>
  <TotalTime>13</TotalTime>
  <ScaleCrop>false</ScaleCrop>
  <LinksUpToDate>false</LinksUpToDate>
  <CharactersWithSpaces>9119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2021-01-22T23:26:00Z</dcterms:created>
  <dc:creator>Windows</dc:creator>
  <cp:lastModifiedBy>张毅</cp:lastModifiedBy>
  <cp:lastPrinted>2021-05-25T09:17:00Z</cp:lastPrinted>
  <dcterms:modified xsi:type="dcterms:W3CDTF">2023-06-24T00:40:16Z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2CEDF1AE8FAC4F3DB451A15AB37BF950_13</vt:lpwstr>
  </property>
</Properties>
</file>