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东岳盐业</w:t>
      </w:r>
      <w:r>
        <w:rPr>
          <w:rFonts w:hint="eastAsia" w:ascii="方正小标宋简体" w:hAnsi="Times New Roman" w:eastAsia="方正小标宋简体" w:cs="Times New Roman"/>
          <w:sz w:val="44"/>
          <w:szCs w:val="44"/>
        </w:rPr>
        <w:t>有限公司</w:t>
      </w:r>
    </w:p>
    <w:p>
      <w:pPr>
        <w:spacing w:line="0" w:lineRule="atLeas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空水冷及冷却塔设备采购项目</w:t>
      </w:r>
    </w:p>
    <w:p>
      <w:pPr>
        <w:pStyle w:val="28"/>
        <w:spacing w:line="440" w:lineRule="exact"/>
        <w:jc w:val="center"/>
        <w:rPr>
          <w:rFonts w:ascii="方正小标宋简体" w:hAnsi="宋体" w:eastAsia="方正小标宋简体"/>
          <w:sz w:val="44"/>
          <w:szCs w:val="44"/>
        </w:rPr>
      </w:pPr>
    </w:p>
    <w:p>
      <w:pPr>
        <w:spacing w:line="0" w:lineRule="atLeast"/>
        <w:jc w:val="center"/>
        <w:rPr>
          <w:rFonts w:ascii="方正小标宋简体" w:hAnsi="宋体" w:eastAsia="方正小标宋简体"/>
          <w:sz w:val="44"/>
          <w:szCs w:val="44"/>
        </w:rPr>
      </w:pPr>
    </w:p>
    <w:p>
      <w:pPr>
        <w:spacing w:line="0" w:lineRule="atLeast"/>
        <w:jc w:val="center"/>
        <w:rPr>
          <w:rFonts w:ascii="方正小标宋简体" w:hAnsi="宋体" w:eastAsia="方正小标宋简体"/>
          <w:sz w:val="72"/>
          <w:szCs w:val="72"/>
        </w:rPr>
      </w:pPr>
      <w:r>
        <w:rPr>
          <w:rFonts w:hint="eastAsia" w:ascii="方正小标宋简体" w:hAnsi="黑体" w:eastAsia="方正小标宋简体" w:cs="Times New Roman"/>
          <w:sz w:val="72"/>
          <w:szCs w:val="72"/>
          <w:lang w:eastAsia="zh-CN"/>
        </w:rPr>
        <w:t>询价</w:t>
      </w:r>
      <w:r>
        <w:rPr>
          <w:rFonts w:hint="eastAsia" w:ascii="方正小标宋简体" w:hAnsi="黑体" w:eastAsia="方正小标宋简体" w:cs="Times New Roman"/>
          <w:sz w:val="72"/>
          <w:szCs w:val="72"/>
        </w:rPr>
        <w:t>文件</w:t>
      </w:r>
    </w:p>
    <w:p>
      <w:pPr>
        <w:jc w:val="center"/>
        <w:rPr>
          <w:rFonts w:ascii="楷体_GB2312" w:hAnsi="Times New Roman" w:eastAsia="楷体_GB2312" w:cs="Times New Roman"/>
          <w:sz w:val="32"/>
          <w:szCs w:val="32"/>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黑体" w:hAnsi="黑体" w:eastAsia="黑体" w:cs="Times New Roman"/>
          <w:sz w:val="32"/>
          <w:szCs w:val="24"/>
        </w:rPr>
      </w:pPr>
    </w:p>
    <w:p>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QGB-20230620</w:t>
      </w:r>
    </w:p>
    <w:p>
      <w:pPr>
        <w:spacing w:line="400" w:lineRule="exact"/>
        <w:jc w:val="center"/>
        <w:rPr>
          <w:rFonts w:ascii="黑体" w:hAnsi="黑体" w:eastAsia="黑体" w:cs="Times New Roman"/>
          <w:sz w:val="32"/>
          <w:szCs w:val="24"/>
        </w:rPr>
      </w:pPr>
    </w:p>
    <w:p>
      <w:pPr>
        <w:pStyle w:val="5"/>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东岳盐业</w:t>
      </w:r>
      <w:r>
        <w:rPr>
          <w:rFonts w:hint="eastAsia" w:ascii="黑体" w:hAnsi="黑体" w:eastAsia="黑体" w:cs="Times New Roman"/>
          <w:sz w:val="32"/>
          <w:szCs w:val="24"/>
        </w:rPr>
        <w:t>有限公司</w:t>
      </w:r>
    </w:p>
    <w:p>
      <w:pPr>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sz w:val="32"/>
          <w:szCs w:val="24"/>
        </w:rPr>
        <w:t>年</w:t>
      </w:r>
      <w:r>
        <w:rPr>
          <w:rFonts w:hint="eastAsia" w:ascii="黑体" w:hAnsi="黑体" w:eastAsia="黑体" w:cs="Times New Roman"/>
          <w:sz w:val="32"/>
          <w:szCs w:val="24"/>
          <w:lang w:val="en-US" w:eastAsia="zh-CN"/>
        </w:rPr>
        <w:t>6</w:t>
      </w:r>
      <w:r>
        <w:rPr>
          <w:rFonts w:hint="eastAsia" w:ascii="黑体" w:hAnsi="黑体" w:eastAsia="黑体" w:cs="Times New Roman"/>
          <w:sz w:val="32"/>
          <w:szCs w:val="24"/>
        </w:rPr>
        <w:t>月</w:t>
      </w:r>
      <w:r>
        <w:rPr>
          <w:rFonts w:hint="eastAsia" w:ascii="黑体" w:hAnsi="黑体" w:eastAsia="黑体" w:cs="Times New Roman"/>
          <w:sz w:val="32"/>
          <w:szCs w:val="24"/>
          <w:lang w:val="en-US" w:eastAsia="zh-CN"/>
        </w:rPr>
        <w:t>20日</w:t>
      </w:r>
    </w:p>
    <w:p>
      <w:pPr>
        <w:jc w:val="center"/>
        <w:rPr>
          <w:rFonts w:ascii="黑体" w:hAnsi="黑体" w:eastAsia="黑体" w:cs="Times New Roman"/>
          <w:sz w:val="32"/>
          <w:szCs w:val="24"/>
        </w:rPr>
      </w:pPr>
    </w:p>
    <w:p>
      <w:pPr>
        <w:jc w:val="center"/>
        <w:rPr>
          <w:rFonts w:hint="eastAsia" w:ascii="方正小标宋简体" w:hAnsi="宋体" w:eastAsia="方正小标宋简体" w:cs="Times New Roman"/>
          <w:sz w:val="44"/>
          <w:szCs w:val="44"/>
        </w:rPr>
      </w:pPr>
    </w:p>
    <w:p>
      <w:pPr>
        <w:pStyle w:val="2"/>
        <w:rPr>
          <w:rFonts w:hint="eastAsia"/>
        </w:rPr>
      </w:pPr>
    </w:p>
    <w:p>
      <w:pPr>
        <w:spacing w:line="360" w:lineRule="auto"/>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第一章 招标公告</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一、招标条件</w:t>
      </w:r>
    </w:p>
    <w:p>
      <w:pPr>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lang w:eastAsia="zh-CN"/>
        </w:rPr>
        <w:t>空水冷及冷却塔设备采购项目</w:t>
      </w:r>
      <w:r>
        <w:rPr>
          <w:rFonts w:hint="eastAsia" w:ascii="仿宋_GB2312" w:hAnsi="宋体" w:eastAsia="仿宋_GB2312" w:cs="Times New Roman"/>
          <w:sz w:val="32"/>
          <w:szCs w:val="32"/>
        </w:rPr>
        <w:t>，招标单位为山东</w:t>
      </w:r>
      <w:r>
        <w:rPr>
          <w:rFonts w:hint="eastAsia" w:ascii="仿宋_GB2312" w:hAnsi="宋体" w:eastAsia="仿宋_GB2312" w:cs="Times New Roman"/>
          <w:sz w:val="32"/>
          <w:szCs w:val="32"/>
          <w:lang w:eastAsia="zh-CN"/>
        </w:rPr>
        <w:t>东岳盐业</w:t>
      </w:r>
      <w:r>
        <w:rPr>
          <w:rFonts w:hint="eastAsia" w:ascii="仿宋_GB2312" w:hAnsi="宋体" w:eastAsia="仿宋_GB2312" w:cs="Times New Roman"/>
          <w:sz w:val="32"/>
          <w:szCs w:val="32"/>
        </w:rPr>
        <w:t>有限公司，该项目已具备招标条件，现对该项目</w:t>
      </w:r>
      <w:r>
        <w:rPr>
          <w:rFonts w:hint="eastAsia" w:ascii="仿宋_GB2312" w:hAnsi="宋体" w:eastAsia="仿宋_GB2312" w:cs="Times New Roman"/>
          <w:sz w:val="32"/>
          <w:szCs w:val="32"/>
          <w:lang w:eastAsia="zh-CN"/>
        </w:rPr>
        <w:t>施工</w:t>
      </w:r>
      <w:r>
        <w:rPr>
          <w:rFonts w:hint="eastAsia" w:ascii="仿宋_GB2312" w:hAnsi="宋体" w:eastAsia="仿宋_GB2312" w:cs="Times New Roman"/>
          <w:sz w:val="32"/>
          <w:szCs w:val="32"/>
        </w:rPr>
        <w:t>进行</w:t>
      </w:r>
      <w:r>
        <w:rPr>
          <w:rFonts w:hint="eastAsia" w:ascii="仿宋_GB2312" w:hAnsi="宋体" w:eastAsia="仿宋_GB2312" w:cs="Times New Roman"/>
          <w:sz w:val="32"/>
          <w:szCs w:val="32"/>
          <w:lang w:eastAsia="zh-CN"/>
        </w:rPr>
        <w:t>询比价招标</w:t>
      </w:r>
      <w:r>
        <w:rPr>
          <w:rFonts w:hint="eastAsia" w:ascii="仿宋_GB2312" w:hAnsi="宋体" w:eastAsia="仿宋_GB2312" w:cs="Times New Roman"/>
          <w:sz w:val="32"/>
          <w:szCs w:val="32"/>
        </w:rPr>
        <w:t>。</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二、项目概况与招标范围</w:t>
      </w:r>
    </w:p>
    <w:p>
      <w:pPr>
        <w:spacing w:line="360" w:lineRule="auto"/>
        <w:ind w:firstLine="640" w:firstLineChars="200"/>
        <w:jc w:val="left"/>
        <w:rPr>
          <w:rFonts w:hint="eastAsia" w:ascii="仿宋_GB2312" w:hAnsi="宋体" w:eastAsia="仿宋_GB2312" w:cs="Times New Roman"/>
          <w:b w:val="0"/>
          <w:bCs w:val="0"/>
          <w:sz w:val="32"/>
          <w:szCs w:val="32"/>
          <w:lang w:eastAsia="zh-CN"/>
        </w:rPr>
      </w:pPr>
      <w:r>
        <w:rPr>
          <w:rFonts w:hint="eastAsia" w:ascii="仿宋_GB2312" w:hAnsi="宋体" w:eastAsia="仿宋_GB2312" w:cs="Times New Roman"/>
          <w:b w:val="0"/>
          <w:bCs w:val="0"/>
          <w:sz w:val="32"/>
          <w:szCs w:val="32"/>
          <w:lang w:val="en-US" w:eastAsia="zh-CN"/>
        </w:rPr>
        <w:t>1、</w:t>
      </w:r>
      <w:r>
        <w:rPr>
          <w:rFonts w:hint="eastAsia" w:ascii="仿宋_GB2312" w:hAnsi="宋体" w:eastAsia="仿宋_GB2312" w:cs="Times New Roman"/>
          <w:b w:val="0"/>
          <w:bCs w:val="0"/>
          <w:sz w:val="32"/>
          <w:szCs w:val="32"/>
          <w:lang w:eastAsia="zh-CN"/>
        </w:rPr>
        <w:t>项目名称：山东东岳盐业有限公司空水冷设备采购项目</w:t>
      </w:r>
      <w:r>
        <w:rPr>
          <w:rFonts w:hint="eastAsia" w:ascii="仿宋_GB2312" w:hAnsi="宋体" w:eastAsia="仿宋_GB2312" w:cs="Times New Roman"/>
          <w:b w:val="0"/>
          <w:bCs w:val="0"/>
          <w:sz w:val="32"/>
          <w:szCs w:val="32"/>
          <w:lang w:val="zh-CN" w:eastAsia="zh-CN"/>
        </w:rPr>
        <w:t>。</w:t>
      </w:r>
    </w:p>
    <w:p>
      <w:pPr>
        <w:spacing w:line="360" w:lineRule="auto"/>
        <w:ind w:firstLine="640" w:firstLineChars="200"/>
        <w:jc w:val="left"/>
        <w:rPr>
          <w:rFonts w:hint="eastAsia" w:ascii="仿宋_GB2312" w:hAnsi="宋体" w:eastAsia="仿宋_GB2312" w:cs="Times New Roman"/>
          <w:b w:val="0"/>
          <w:bCs w:val="0"/>
          <w:sz w:val="32"/>
          <w:szCs w:val="32"/>
          <w:lang w:eastAsia="zh-CN"/>
        </w:rPr>
      </w:pPr>
      <w:r>
        <w:rPr>
          <w:rFonts w:hint="eastAsia" w:ascii="仿宋_GB2312" w:hAnsi="宋体" w:eastAsia="仿宋_GB2312" w:cs="Times New Roman"/>
          <w:b w:val="0"/>
          <w:bCs w:val="0"/>
          <w:sz w:val="32"/>
          <w:szCs w:val="32"/>
          <w:lang w:eastAsia="zh-CN"/>
        </w:rPr>
        <w:t>2、项目地点：山东东岳盐业有限公司指定位置。</w:t>
      </w:r>
    </w:p>
    <w:p>
      <w:pPr>
        <w:spacing w:line="360" w:lineRule="auto"/>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项目内容</w:t>
      </w:r>
    </w:p>
    <w:p>
      <w:pPr>
        <w:spacing w:line="360" w:lineRule="auto"/>
        <w:ind w:firstLine="640" w:firstLineChars="200"/>
        <w:jc w:val="left"/>
        <w:rPr>
          <w:rFonts w:hint="eastAsia" w:ascii="仿宋_GB2312" w:hAnsi="宋体" w:eastAsia="仿宋_GB2312" w:cs="Times New Roman"/>
          <w:b w:val="0"/>
          <w:bCs w:val="0"/>
          <w:color w:val="auto"/>
          <w:sz w:val="32"/>
          <w:szCs w:val="32"/>
          <w:lang w:val="en-US" w:eastAsia="zh-CN"/>
        </w:rPr>
      </w:pPr>
      <w:bookmarkStart w:id="0" w:name="_Hlk52093031"/>
      <w:bookmarkEnd w:id="0"/>
      <w:r>
        <w:rPr>
          <w:rFonts w:hint="eastAsia" w:ascii="仿宋_GB2312" w:hAnsi="宋体" w:eastAsia="仿宋_GB2312" w:cs="Times New Roman"/>
          <w:b w:val="0"/>
          <w:bCs w:val="0"/>
          <w:color w:val="auto"/>
          <w:sz w:val="32"/>
          <w:szCs w:val="32"/>
          <w:lang w:val="en-US" w:eastAsia="zh-CN"/>
        </w:rPr>
        <w:t>采购并安装空水冷设备3台套，单台制冷量：80kW左右。小型逆流闭式冷却塔1台套，工作流量≥44m³/h，以及全部配套辅助设备、电气、仪表、管道安装，负责与招标人DCS连通，上述设备的采购、安装、调试直至正常运行，为交钥匙工程。</w:t>
      </w:r>
    </w:p>
    <w:p>
      <w:pPr>
        <w:numPr>
          <w:ilvl w:val="255"/>
          <w:numId w:val="0"/>
        </w:numPr>
        <w:spacing w:line="560" w:lineRule="exact"/>
        <w:ind w:firstLine="640" w:firstLineChars="200"/>
        <w:jc w:val="left"/>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4、</w:t>
      </w:r>
      <w:r>
        <w:rPr>
          <w:rFonts w:hint="eastAsia" w:ascii="宋体" w:hAnsi="宋体" w:eastAsia="宋体" w:cs="宋体"/>
          <w:b w:val="0"/>
          <w:bCs/>
          <w:sz w:val="32"/>
          <w:szCs w:val="32"/>
        </w:rPr>
        <w:t>主要技术要求</w:t>
      </w:r>
    </w:p>
    <w:p>
      <w:pPr>
        <w:spacing w:line="36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val="en-US" w:eastAsia="zh-CN"/>
        </w:rPr>
        <w:t>4.1</w:t>
      </w:r>
      <w:r>
        <w:rPr>
          <w:rFonts w:hint="eastAsia" w:ascii="宋体" w:hAnsi="宋体" w:eastAsia="宋体" w:cs="宋体"/>
          <w:sz w:val="32"/>
          <w:szCs w:val="32"/>
        </w:rPr>
        <w:t>制冷量</w:t>
      </w:r>
      <w:r>
        <w:rPr>
          <w:rFonts w:hint="eastAsia" w:ascii="宋体" w:hAnsi="宋体" w:eastAsia="宋体" w:cs="宋体"/>
          <w:sz w:val="32"/>
          <w:szCs w:val="32"/>
          <w:lang w:eastAsia="zh-CN"/>
        </w:rPr>
        <w:t>核算数据</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lang w:eastAsia="zh-CN"/>
        </w:rPr>
        <w:t>按照山东东岳盐业有限公司</w:t>
      </w:r>
      <w:r>
        <w:rPr>
          <w:rFonts w:hint="eastAsia" w:ascii="仿宋_GB2312" w:hAnsi="宋体" w:eastAsia="仿宋_GB2312"/>
          <w:sz w:val="32"/>
          <w:szCs w:val="32"/>
          <w:lang w:val="en-US" w:eastAsia="zh-CN"/>
        </w:rPr>
        <w:t>10KV</w:t>
      </w:r>
      <w:r>
        <w:rPr>
          <w:rFonts w:ascii="仿宋_GB2312" w:hAnsi="宋体" w:eastAsia="仿宋_GB2312"/>
          <w:sz w:val="32"/>
          <w:szCs w:val="32"/>
        </w:rPr>
        <w:t>变频器负荷额定功率的6%进行估算，</w:t>
      </w:r>
      <w:r>
        <w:rPr>
          <w:rFonts w:hint="eastAsia" w:ascii="仿宋_GB2312" w:hAnsi="宋体" w:eastAsia="仿宋_GB2312"/>
          <w:sz w:val="32"/>
          <w:szCs w:val="32"/>
          <w:lang w:val="en-US" w:eastAsia="zh-CN"/>
        </w:rPr>
        <w:t>10KV</w:t>
      </w:r>
      <w:r>
        <w:rPr>
          <w:rFonts w:ascii="仿宋_GB2312" w:hAnsi="宋体" w:eastAsia="仿宋_GB2312"/>
          <w:sz w:val="32"/>
          <w:szCs w:val="32"/>
        </w:rPr>
        <w:t>变频器共3台，总发热量为1000kW*6%*3=180kW</w:t>
      </w:r>
      <w:r>
        <w:rPr>
          <w:rFonts w:hint="eastAsia" w:ascii="仿宋_GB2312" w:hAnsi="宋体" w:eastAsia="仿宋_GB2312"/>
          <w:sz w:val="32"/>
          <w:szCs w:val="32"/>
          <w:lang w:eastAsia="zh-CN"/>
        </w:rPr>
        <w:t>，同时考虑环境和其它设备发热量，</w:t>
      </w:r>
      <w:r>
        <w:rPr>
          <w:rFonts w:ascii="仿宋_GB2312" w:hAnsi="宋体" w:eastAsia="仿宋_GB2312"/>
          <w:sz w:val="32"/>
          <w:szCs w:val="32"/>
        </w:rPr>
        <w:t>空水冷系统制冷功率配置</w:t>
      </w:r>
      <w:r>
        <w:rPr>
          <w:rFonts w:hint="eastAsia" w:ascii="仿宋_GB2312" w:hAnsi="宋体" w:eastAsia="仿宋_GB2312"/>
          <w:sz w:val="32"/>
          <w:szCs w:val="32"/>
          <w:lang w:eastAsia="zh-CN"/>
        </w:rPr>
        <w:t>为</w:t>
      </w:r>
      <w:r>
        <w:rPr>
          <w:rFonts w:ascii="仿宋_GB2312" w:hAnsi="宋体" w:eastAsia="仿宋_GB2312"/>
          <w:sz w:val="32"/>
          <w:szCs w:val="32"/>
        </w:rPr>
        <w:t>单台80kw</w:t>
      </w:r>
      <w:r>
        <w:rPr>
          <w:rFonts w:hint="eastAsia" w:ascii="仿宋_GB2312" w:hAnsi="宋体" w:eastAsia="仿宋_GB2312"/>
          <w:sz w:val="32"/>
          <w:szCs w:val="32"/>
          <w:lang w:eastAsia="zh-CN"/>
        </w:rPr>
        <w:t>左右</w:t>
      </w:r>
      <w:r>
        <w:rPr>
          <w:rFonts w:ascii="仿宋_GB2312" w:hAnsi="宋体" w:eastAsia="仿宋_GB2312"/>
          <w:sz w:val="32"/>
          <w:szCs w:val="32"/>
        </w:rPr>
        <w:t>。</w:t>
      </w:r>
      <w:r>
        <w:rPr>
          <w:rFonts w:hint="eastAsia" w:ascii="仿宋_GB2312" w:hAnsi="宋体" w:eastAsia="仿宋_GB2312"/>
          <w:sz w:val="32"/>
          <w:szCs w:val="32"/>
          <w:lang w:val="en-US" w:eastAsia="zh-CN"/>
        </w:rPr>
        <w:t>10KV</w:t>
      </w:r>
      <w:r>
        <w:rPr>
          <w:rFonts w:ascii="仿宋_GB2312" w:hAnsi="宋体" w:eastAsia="仿宋_GB2312"/>
          <w:sz w:val="32"/>
          <w:szCs w:val="32"/>
        </w:rPr>
        <w:t>变频器</w:t>
      </w:r>
      <w:r>
        <w:rPr>
          <w:rFonts w:hint="eastAsia" w:ascii="仿宋_GB2312" w:hAnsi="宋体" w:eastAsia="仿宋_GB2312"/>
          <w:sz w:val="32"/>
          <w:szCs w:val="32"/>
          <w:lang w:eastAsia="zh-CN"/>
        </w:rPr>
        <w:t>两开一备，实际运行发热量约为</w:t>
      </w:r>
      <w:r>
        <w:rPr>
          <w:rFonts w:ascii="仿宋_GB2312" w:hAnsi="宋体" w:eastAsia="仿宋_GB2312"/>
          <w:sz w:val="32"/>
          <w:szCs w:val="32"/>
        </w:rPr>
        <w:t>1000kW*6%*</w:t>
      </w:r>
      <w:r>
        <w:rPr>
          <w:rFonts w:hint="eastAsia" w:ascii="仿宋_GB2312" w:hAnsi="宋体" w:eastAsia="仿宋_GB2312"/>
          <w:sz w:val="32"/>
          <w:szCs w:val="32"/>
          <w:lang w:val="en-US" w:eastAsia="zh-CN"/>
        </w:rPr>
        <w:t>2</w:t>
      </w:r>
      <w:r>
        <w:rPr>
          <w:rFonts w:ascii="仿宋_GB2312" w:hAnsi="宋体" w:eastAsia="仿宋_GB2312"/>
          <w:sz w:val="32"/>
          <w:szCs w:val="32"/>
        </w:rPr>
        <w:t>=1</w:t>
      </w:r>
      <w:r>
        <w:rPr>
          <w:rFonts w:hint="eastAsia" w:ascii="仿宋_GB2312" w:hAnsi="宋体" w:eastAsia="仿宋_GB2312"/>
          <w:sz w:val="32"/>
          <w:szCs w:val="32"/>
          <w:lang w:val="en-US" w:eastAsia="zh-CN"/>
        </w:rPr>
        <w:t>2</w:t>
      </w:r>
      <w:r>
        <w:rPr>
          <w:rFonts w:ascii="仿宋_GB2312" w:hAnsi="宋体" w:eastAsia="仿宋_GB2312"/>
          <w:sz w:val="32"/>
          <w:szCs w:val="32"/>
        </w:rPr>
        <w:t>0kW。</w:t>
      </w:r>
    </w:p>
    <w:p>
      <w:pPr>
        <w:pStyle w:val="2"/>
        <w:rPr>
          <w:rFonts w:hint="default" w:eastAsia="仿宋_GB2312"/>
          <w:sz w:val="32"/>
          <w:szCs w:val="32"/>
          <w:lang w:val="en-US" w:eastAsia="zh-CN"/>
        </w:rPr>
      </w:pPr>
      <w:r>
        <w:rPr>
          <w:rFonts w:hint="eastAsia" w:ascii="仿宋_GB2312" w:hAnsi="宋体" w:eastAsia="仿宋_GB2312"/>
          <w:sz w:val="32"/>
          <w:szCs w:val="32"/>
          <w:lang w:eastAsia="zh-CN"/>
        </w:rPr>
        <w:t>变频器室空间长宽高为：</w:t>
      </w:r>
      <w:r>
        <w:rPr>
          <w:rFonts w:hint="eastAsia" w:ascii="仿宋_GB2312" w:hAnsi="宋体" w:eastAsia="仿宋_GB2312"/>
          <w:sz w:val="32"/>
          <w:szCs w:val="32"/>
          <w:lang w:val="en-US" w:eastAsia="zh-CN"/>
        </w:rPr>
        <w:t>12.5米*7.5米*5.9米。</w:t>
      </w:r>
    </w:p>
    <w:p>
      <w:pPr>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4.2</w:t>
      </w:r>
      <w:r>
        <w:rPr>
          <w:rFonts w:hint="eastAsia" w:ascii="宋体" w:hAnsi="宋体" w:eastAsia="宋体" w:cs="宋体"/>
          <w:sz w:val="32"/>
          <w:szCs w:val="32"/>
          <w:highlight w:val="none"/>
          <w:lang w:eastAsia="zh-CN"/>
        </w:rPr>
        <w:t>空水冷设备</w:t>
      </w:r>
      <w:r>
        <w:rPr>
          <w:rFonts w:hint="eastAsia" w:ascii="宋体" w:hAnsi="宋体" w:eastAsia="宋体" w:cs="宋体"/>
          <w:sz w:val="32"/>
          <w:szCs w:val="32"/>
          <w:highlight w:val="none"/>
        </w:rPr>
        <w:t>性能要求</w:t>
      </w:r>
    </w:p>
    <w:p>
      <w:pPr>
        <w:spacing w:line="360" w:lineRule="auto"/>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lang w:eastAsia="zh-CN"/>
        </w:rPr>
        <w:t>）</w:t>
      </w:r>
      <w:r>
        <w:rPr>
          <w:rFonts w:ascii="仿宋_GB2312" w:hAnsi="宋体" w:eastAsia="仿宋_GB2312"/>
          <w:sz w:val="32"/>
          <w:szCs w:val="32"/>
          <w:highlight w:val="none"/>
        </w:rPr>
        <w:t>要求空水</w:t>
      </w:r>
      <w:r>
        <w:rPr>
          <w:rFonts w:hint="eastAsia" w:ascii="仿宋_GB2312" w:hAnsi="宋体" w:eastAsia="仿宋_GB2312"/>
          <w:sz w:val="32"/>
          <w:szCs w:val="32"/>
          <w:highlight w:val="none"/>
          <w:lang w:eastAsia="zh-CN"/>
        </w:rPr>
        <w:t>冷设备</w:t>
      </w:r>
      <w:r>
        <w:rPr>
          <w:rFonts w:ascii="仿宋_GB2312" w:hAnsi="宋体" w:eastAsia="仿宋_GB2312"/>
          <w:sz w:val="32"/>
          <w:szCs w:val="32"/>
          <w:highlight w:val="none"/>
        </w:rPr>
        <w:t>冷却系统</w:t>
      </w:r>
      <w:r>
        <w:rPr>
          <w:rFonts w:hint="eastAsia" w:ascii="仿宋_GB2312" w:hAnsi="宋体" w:eastAsia="仿宋_GB2312"/>
          <w:sz w:val="32"/>
          <w:szCs w:val="32"/>
          <w:highlight w:val="none"/>
          <w:lang w:eastAsia="zh-CN"/>
        </w:rPr>
        <w:t>配置</w:t>
      </w:r>
      <w:r>
        <w:rPr>
          <w:rFonts w:ascii="仿宋_GB2312" w:hAnsi="宋体" w:eastAsia="仿宋_GB2312"/>
          <w:sz w:val="32"/>
          <w:szCs w:val="32"/>
          <w:highlight w:val="none"/>
        </w:rPr>
        <w:t>的制冷</w:t>
      </w:r>
      <w:r>
        <w:rPr>
          <w:rFonts w:hint="eastAsia" w:ascii="仿宋_GB2312" w:hAnsi="宋体" w:eastAsia="仿宋_GB2312"/>
          <w:sz w:val="32"/>
          <w:szCs w:val="32"/>
          <w:highlight w:val="none"/>
          <w:lang w:eastAsia="zh-CN"/>
        </w:rPr>
        <w:t>总量必须大于</w:t>
      </w:r>
      <w:r>
        <w:rPr>
          <w:rFonts w:hint="eastAsia" w:ascii="仿宋_GB2312" w:hAnsi="宋体" w:eastAsia="仿宋_GB2312"/>
          <w:sz w:val="32"/>
          <w:szCs w:val="32"/>
          <w:highlight w:val="none"/>
        </w:rPr>
        <w:t>变频器</w:t>
      </w:r>
      <w:r>
        <w:rPr>
          <w:rFonts w:hint="eastAsia" w:ascii="仿宋_GB2312" w:hAnsi="宋体" w:eastAsia="仿宋_GB2312"/>
          <w:sz w:val="32"/>
          <w:szCs w:val="32"/>
          <w:highlight w:val="none"/>
          <w:lang w:eastAsia="zh-CN"/>
        </w:rPr>
        <w:t>理论</w:t>
      </w:r>
      <w:r>
        <w:rPr>
          <w:rFonts w:hint="eastAsia" w:ascii="仿宋_GB2312" w:hAnsi="宋体" w:eastAsia="仿宋_GB2312"/>
          <w:sz w:val="32"/>
          <w:szCs w:val="32"/>
          <w:highlight w:val="none"/>
        </w:rPr>
        <w:t>散热</w:t>
      </w:r>
      <w:r>
        <w:rPr>
          <w:rFonts w:hint="eastAsia" w:ascii="仿宋_GB2312" w:hAnsi="宋体" w:eastAsia="仿宋_GB2312"/>
          <w:sz w:val="32"/>
          <w:szCs w:val="32"/>
          <w:highlight w:val="none"/>
          <w:lang w:eastAsia="zh-CN"/>
        </w:rPr>
        <w:t>总</w:t>
      </w:r>
      <w:r>
        <w:rPr>
          <w:rFonts w:hint="eastAsia" w:ascii="仿宋_GB2312" w:hAnsi="宋体" w:eastAsia="仿宋_GB2312"/>
          <w:sz w:val="32"/>
          <w:szCs w:val="32"/>
          <w:highlight w:val="none"/>
        </w:rPr>
        <w:t>量</w:t>
      </w:r>
      <w:r>
        <w:rPr>
          <w:rFonts w:hint="eastAsia" w:ascii="仿宋_GB2312" w:hAnsi="宋体" w:eastAsia="仿宋_GB2312"/>
          <w:sz w:val="32"/>
          <w:szCs w:val="32"/>
          <w:highlight w:val="none"/>
          <w:lang w:eastAsia="zh-CN"/>
        </w:rPr>
        <w:t>；</w:t>
      </w:r>
    </w:p>
    <w:p>
      <w:pPr>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lang w:eastAsia="zh-CN"/>
        </w:rPr>
        <w:t>）</w:t>
      </w:r>
      <w:r>
        <w:rPr>
          <w:rFonts w:ascii="仿宋_GB2312" w:hAnsi="宋体" w:eastAsia="仿宋_GB2312"/>
          <w:sz w:val="32"/>
          <w:szCs w:val="32"/>
          <w:highlight w:val="none"/>
        </w:rPr>
        <w:t>设备整体安装于变频配电室外，采用风道与变频器的柜顶排气口直接连接;</w:t>
      </w:r>
    </w:p>
    <w:p>
      <w:pPr>
        <w:spacing w:line="360" w:lineRule="auto"/>
        <w:ind w:firstLine="640" w:firstLineChars="200"/>
        <w:rPr>
          <w:rFonts w:ascii="仿宋_GB2312" w:hAnsi="宋体" w:eastAsia="仿宋_GB2312"/>
          <w:b w:val="0"/>
          <w:bCs w:val="0"/>
          <w:sz w:val="32"/>
          <w:szCs w:val="32"/>
          <w:highlight w:val="none"/>
        </w:rPr>
      </w:pP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lang w:val="en-US" w:eastAsia="zh-CN"/>
        </w:rPr>
        <w:t>3</w:t>
      </w:r>
      <w:r>
        <w:rPr>
          <w:rFonts w:hint="eastAsia" w:ascii="仿宋_GB2312" w:hAnsi="宋体" w:eastAsia="仿宋_GB2312"/>
          <w:b w:val="0"/>
          <w:bCs w:val="0"/>
          <w:sz w:val="32"/>
          <w:szCs w:val="32"/>
          <w:lang w:eastAsia="zh-CN"/>
        </w:rPr>
        <w:t>）</w:t>
      </w:r>
      <w:r>
        <w:rPr>
          <w:rFonts w:ascii="仿宋_GB2312" w:hAnsi="宋体" w:eastAsia="仿宋_GB2312"/>
          <w:b w:val="0"/>
          <w:bCs w:val="0"/>
          <w:sz w:val="32"/>
          <w:szCs w:val="32"/>
        </w:rPr>
        <w:t>在空</w:t>
      </w:r>
      <w:r>
        <w:rPr>
          <w:rFonts w:ascii="仿宋_GB2312" w:hAnsi="宋体" w:eastAsia="仿宋_GB2312"/>
          <w:b w:val="0"/>
          <w:bCs w:val="0"/>
          <w:sz w:val="32"/>
          <w:szCs w:val="32"/>
          <w:highlight w:val="none"/>
        </w:rPr>
        <w:t>水冷却系统的设</w:t>
      </w:r>
      <w:r>
        <w:rPr>
          <w:rFonts w:ascii="仿宋_GB2312" w:hAnsi="宋体" w:eastAsia="仿宋_GB2312"/>
          <w:b w:val="0"/>
          <w:bCs w:val="0"/>
          <w:color w:val="000000" w:themeColor="text1"/>
          <w:sz w:val="32"/>
          <w:szCs w:val="32"/>
          <w:highlight w:val="none"/>
          <w14:textFill>
            <w14:solidFill>
              <w14:schemeClr w14:val="tx1"/>
            </w14:solidFill>
          </w14:textFill>
        </w:rPr>
        <w:t>计当</w:t>
      </w:r>
      <w:r>
        <w:rPr>
          <w:rFonts w:ascii="仿宋_GB2312" w:hAnsi="宋体" w:eastAsia="仿宋_GB2312"/>
          <w:b w:val="0"/>
          <w:bCs w:val="0"/>
          <w:sz w:val="32"/>
          <w:szCs w:val="32"/>
          <w:highlight w:val="none"/>
        </w:rPr>
        <w:t>中，应设计防止空-水冷装置冷却过程中产生冷凝水，</w:t>
      </w:r>
      <w:r>
        <w:rPr>
          <w:rFonts w:ascii="仿宋_GB2312" w:hAnsi="宋体" w:eastAsia="仿宋_GB2312"/>
          <w:b w:val="0"/>
          <w:bCs w:val="0"/>
          <w:color w:val="auto"/>
          <w:sz w:val="32"/>
          <w:szCs w:val="32"/>
          <w:highlight w:val="none"/>
        </w:rPr>
        <w:t>并在投标书中出</w:t>
      </w:r>
      <w:r>
        <w:rPr>
          <w:rFonts w:ascii="仿宋_GB2312" w:hAnsi="宋体" w:eastAsia="仿宋_GB2312"/>
          <w:b w:val="0"/>
          <w:bCs w:val="0"/>
          <w:color w:val="000000" w:themeColor="text1"/>
          <w:sz w:val="32"/>
          <w:szCs w:val="32"/>
          <w:highlight w:val="none"/>
          <w14:textFill>
            <w14:solidFill>
              <w14:schemeClr w14:val="tx1"/>
            </w14:solidFill>
          </w14:textFill>
        </w:rPr>
        <w:t>具</w:t>
      </w:r>
      <w:r>
        <w:rPr>
          <w:rFonts w:ascii="仿宋_GB2312" w:hAnsi="宋体" w:eastAsia="仿宋_GB2312"/>
          <w:b w:val="0"/>
          <w:bCs w:val="0"/>
          <w:sz w:val="32"/>
          <w:szCs w:val="32"/>
          <w:highlight w:val="none"/>
        </w:rPr>
        <w:t>详细措施;</w:t>
      </w:r>
    </w:p>
    <w:p>
      <w:pPr>
        <w:spacing w:line="360" w:lineRule="auto"/>
        <w:ind w:firstLine="640" w:firstLineChars="200"/>
        <w:rPr>
          <w:rFonts w:ascii="仿宋_GB2312" w:hAnsi="宋体" w:eastAsia="仿宋_GB2312"/>
          <w:b w:val="0"/>
          <w:bCs w:val="0"/>
          <w:sz w:val="32"/>
          <w:szCs w:val="32"/>
          <w:highlight w:val="none"/>
        </w:rPr>
      </w:pPr>
      <w:r>
        <w:rPr>
          <w:rFonts w:hint="eastAsia" w:ascii="仿宋_GB2312" w:hAnsi="宋体" w:eastAsia="仿宋_GB2312"/>
          <w:b w:val="0"/>
          <w:bCs w:val="0"/>
          <w:sz w:val="32"/>
          <w:szCs w:val="32"/>
          <w:highlight w:val="none"/>
          <w:lang w:eastAsia="zh-CN"/>
        </w:rPr>
        <w:t>（</w:t>
      </w:r>
      <w:r>
        <w:rPr>
          <w:rFonts w:hint="eastAsia" w:ascii="仿宋_GB2312" w:hAnsi="宋体" w:eastAsia="仿宋_GB2312"/>
          <w:b w:val="0"/>
          <w:bCs w:val="0"/>
          <w:sz w:val="32"/>
          <w:szCs w:val="32"/>
          <w:highlight w:val="none"/>
          <w:lang w:val="en-US" w:eastAsia="zh-CN"/>
        </w:rPr>
        <w:t>4</w:t>
      </w:r>
      <w:r>
        <w:rPr>
          <w:rFonts w:hint="eastAsia" w:ascii="仿宋_GB2312" w:hAnsi="宋体" w:eastAsia="仿宋_GB2312"/>
          <w:b w:val="0"/>
          <w:bCs w:val="0"/>
          <w:sz w:val="32"/>
          <w:szCs w:val="32"/>
          <w:highlight w:val="none"/>
          <w:lang w:eastAsia="zh-CN"/>
        </w:rPr>
        <w:t>）</w:t>
      </w:r>
      <w:r>
        <w:rPr>
          <w:rFonts w:ascii="仿宋_GB2312" w:hAnsi="宋体" w:eastAsia="仿宋_GB2312"/>
          <w:b w:val="0"/>
          <w:bCs w:val="0"/>
          <w:sz w:val="32"/>
          <w:szCs w:val="32"/>
          <w:highlight w:val="none"/>
        </w:rPr>
        <w:t>应设置应急自动排风口，当空水冷系统发生故障停机时，可以自动打开应急排风口,排出热风，保证变频器安全正常运行。</w:t>
      </w:r>
    </w:p>
    <w:p>
      <w:pPr>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lang w:eastAsia="zh-CN"/>
        </w:rPr>
        <w:t>）</w:t>
      </w:r>
      <w:r>
        <w:rPr>
          <w:rFonts w:hint="default" w:ascii="仿宋_GB2312" w:hAnsi="宋体" w:eastAsia="仿宋_GB2312"/>
          <w:sz w:val="32"/>
          <w:szCs w:val="32"/>
          <w:highlight w:val="none"/>
        </w:rPr>
        <w:t>保证在变频器2台满负荷运行工况下</w:t>
      </w:r>
      <w:r>
        <w:rPr>
          <w:rFonts w:hint="eastAsia" w:ascii="仿宋_GB2312" w:hAnsi="宋体" w:eastAsia="仿宋_GB2312"/>
          <w:sz w:val="32"/>
          <w:szCs w:val="32"/>
          <w:highlight w:val="none"/>
          <w:lang w:eastAsia="zh-CN"/>
        </w:rPr>
        <w:t>，</w:t>
      </w:r>
      <w:r>
        <w:rPr>
          <w:rFonts w:hint="default" w:ascii="仿宋_GB2312" w:hAnsi="宋体" w:eastAsia="仿宋_GB2312"/>
          <w:sz w:val="32"/>
          <w:szCs w:val="32"/>
          <w:highlight w:val="none"/>
        </w:rPr>
        <w:t>空水冷设备2台运行时，</w:t>
      </w:r>
      <w:r>
        <w:rPr>
          <w:rFonts w:hint="eastAsia" w:ascii="仿宋_GB2312" w:hAnsi="宋体" w:eastAsia="仿宋_GB2312"/>
          <w:sz w:val="32"/>
          <w:szCs w:val="32"/>
          <w:highlight w:val="none"/>
        </w:rPr>
        <w:t>夏季最高</w:t>
      </w:r>
      <w:r>
        <w:rPr>
          <w:rFonts w:hint="default" w:ascii="仿宋_GB2312" w:hAnsi="宋体" w:eastAsia="仿宋_GB2312"/>
          <w:sz w:val="32"/>
          <w:szCs w:val="32"/>
          <w:highlight w:val="none"/>
        </w:rPr>
        <w:t>室内环境温度</w:t>
      </w:r>
      <w:r>
        <w:rPr>
          <w:rFonts w:hint="eastAsia" w:ascii="仿宋_GB2312" w:hAnsi="宋体" w:eastAsia="仿宋_GB2312"/>
          <w:sz w:val="32"/>
          <w:szCs w:val="32"/>
          <w:highlight w:val="none"/>
          <w:lang w:eastAsia="zh-CN"/>
        </w:rPr>
        <w:t>＜</w:t>
      </w:r>
      <w:r>
        <w:rPr>
          <w:rFonts w:hint="default" w:ascii="仿宋_GB2312" w:hAnsi="宋体" w:eastAsia="仿宋_GB2312"/>
          <w:sz w:val="32"/>
          <w:szCs w:val="32"/>
          <w:highlight w:val="none"/>
        </w:rPr>
        <w:t>40℃</w:t>
      </w:r>
      <w:r>
        <w:rPr>
          <w:rFonts w:hint="eastAsia" w:ascii="仿宋_GB2312" w:hAnsi="宋体" w:eastAsia="仿宋_GB2312"/>
          <w:sz w:val="32"/>
          <w:szCs w:val="32"/>
          <w:highlight w:val="none"/>
          <w:lang w:eastAsia="zh-CN"/>
        </w:rPr>
        <w:t>（干球温度，下同）</w:t>
      </w:r>
      <w:r>
        <w:rPr>
          <w:rFonts w:hint="default" w:ascii="仿宋_GB2312" w:hAnsi="宋体" w:eastAsia="仿宋_GB2312"/>
          <w:sz w:val="32"/>
          <w:szCs w:val="32"/>
          <w:highlight w:val="none"/>
        </w:rPr>
        <w:t>。</w:t>
      </w:r>
    </w:p>
    <w:p>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（6）</w:t>
      </w:r>
      <w:r>
        <w:rPr>
          <w:rFonts w:ascii="仿宋_GB2312" w:hAnsi="宋体" w:eastAsia="仿宋_GB2312"/>
          <w:sz w:val="32"/>
          <w:szCs w:val="32"/>
          <w:highlight w:val="none"/>
        </w:rPr>
        <w:t>冷却器排风(排入室内</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夏季最高</w:t>
      </w:r>
      <w:r>
        <w:rPr>
          <w:rFonts w:ascii="仿宋_GB2312" w:hAnsi="宋体" w:eastAsia="仿宋_GB2312"/>
          <w:sz w:val="32"/>
          <w:szCs w:val="32"/>
          <w:highlight w:val="none"/>
        </w:rPr>
        <w:t>)温度≤冷却器进水温度加5℃</w:t>
      </w:r>
      <w:r>
        <w:rPr>
          <w:rFonts w:hint="eastAsia" w:ascii="仿宋_GB2312" w:hAnsi="宋体" w:eastAsia="仿宋_GB2312"/>
          <w:sz w:val="32"/>
          <w:szCs w:val="32"/>
          <w:highlight w:val="none"/>
          <w:lang w:eastAsia="zh-CN"/>
        </w:rPr>
        <w:t>，且室内</w:t>
      </w:r>
      <w:r>
        <w:rPr>
          <w:rFonts w:hint="eastAsia" w:ascii="仿宋_GB2312" w:hAnsi="宋体" w:eastAsia="仿宋_GB2312"/>
          <w:sz w:val="32"/>
          <w:szCs w:val="32"/>
          <w:highlight w:val="none"/>
        </w:rPr>
        <w:t>夏季最高</w:t>
      </w:r>
      <w:r>
        <w:rPr>
          <w:rFonts w:hint="eastAsia" w:ascii="仿宋_GB2312" w:hAnsi="宋体" w:eastAsia="仿宋_GB2312"/>
          <w:sz w:val="32"/>
          <w:szCs w:val="32"/>
          <w:highlight w:val="none"/>
          <w:lang w:eastAsia="zh-CN"/>
        </w:rPr>
        <w:t>环境温度＜</w:t>
      </w:r>
      <w:r>
        <w:rPr>
          <w:rFonts w:hint="eastAsia" w:ascii="仿宋_GB2312" w:hAnsi="宋体" w:eastAsia="仿宋_GB2312"/>
          <w:sz w:val="32"/>
          <w:szCs w:val="32"/>
          <w:highlight w:val="none"/>
        </w:rPr>
        <w:t>40</w:t>
      </w:r>
      <w:r>
        <w:rPr>
          <w:rFonts w:hint="default" w:ascii="仿宋_GB2312" w:hAnsi="宋体" w:eastAsia="仿宋_GB2312"/>
          <w:sz w:val="32"/>
          <w:szCs w:val="32"/>
          <w:highlight w:val="none"/>
        </w:rPr>
        <w:t>℃</w:t>
      </w:r>
      <w:r>
        <w:rPr>
          <w:rFonts w:hint="eastAsia" w:ascii="仿宋_GB2312" w:hAnsi="宋体" w:eastAsia="仿宋_GB2312"/>
          <w:sz w:val="32"/>
          <w:szCs w:val="32"/>
          <w:highlight w:val="none"/>
        </w:rPr>
        <w:t>。</w:t>
      </w:r>
    </w:p>
    <w:p>
      <w:pPr>
        <w:pStyle w:val="2"/>
        <w:rPr>
          <w:rFonts w:hint="eastAsia" w:eastAsia="仿宋_GB2312"/>
          <w:sz w:val="32"/>
          <w:szCs w:val="32"/>
          <w:lang w:val="en-US" w:eastAsia="zh-CN"/>
        </w:rPr>
      </w:pPr>
      <w:r>
        <w:rPr>
          <w:rFonts w:hint="eastAsia" w:ascii="仿宋_GB2312" w:hAnsi="宋体" w:eastAsia="仿宋_GB2312"/>
          <w:sz w:val="32"/>
          <w:szCs w:val="32"/>
          <w:highlight w:val="none"/>
          <w:lang w:val="en-US" w:eastAsia="zh-CN"/>
        </w:rPr>
        <w:t>（7）冬季允许停止空水冷设备运行，不影响变频器热风排出室外。</w:t>
      </w:r>
    </w:p>
    <w:p>
      <w:pPr>
        <w:pStyle w:val="2"/>
        <w:ind w:firstLine="560"/>
        <w:rPr>
          <w:rFonts w:hint="eastAsia" w:ascii="宋体" w:hAnsi="宋体" w:eastAsia="宋体" w:cs="宋体"/>
          <w:sz w:val="32"/>
          <w:szCs w:val="32"/>
        </w:rPr>
      </w:pPr>
      <w:r>
        <w:rPr>
          <w:rFonts w:hint="eastAsia" w:ascii="宋体" w:hAnsi="宋体" w:eastAsia="宋体" w:cs="宋体"/>
          <w:sz w:val="32"/>
          <w:szCs w:val="32"/>
          <w:lang w:val="en-US" w:eastAsia="zh-CN"/>
        </w:rPr>
        <w:t>4.3</w:t>
      </w:r>
      <w:r>
        <w:rPr>
          <w:rFonts w:hint="eastAsia" w:ascii="宋体" w:hAnsi="宋体" w:eastAsia="宋体" w:cs="宋体"/>
          <w:sz w:val="32"/>
          <w:szCs w:val="32"/>
        </w:rPr>
        <w:t>冷却塔选型及要求</w:t>
      </w:r>
    </w:p>
    <w:p>
      <w:pPr>
        <w:pStyle w:val="2"/>
        <w:ind w:firstLine="560"/>
        <w:rPr>
          <w:rFonts w:hint="default"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r>
        <w:rPr>
          <w:rFonts w:hint="default" w:ascii="仿宋_GB2312" w:hAnsi="宋体" w:eastAsia="仿宋_GB2312"/>
          <w:sz w:val="32"/>
          <w:szCs w:val="32"/>
          <w:lang w:eastAsia="zh-CN"/>
        </w:rPr>
        <w:t>招标方提供的补水源，含盐量比较大，</w:t>
      </w:r>
      <w:r>
        <w:rPr>
          <w:rFonts w:hint="eastAsia" w:ascii="仿宋_GB2312" w:hAnsi="宋体" w:eastAsia="仿宋_GB2312"/>
          <w:sz w:val="32"/>
          <w:szCs w:val="32"/>
          <w:lang w:eastAsia="zh-CN"/>
        </w:rPr>
        <w:t>要求与冷却水接触的过流部分</w:t>
      </w:r>
      <w:r>
        <w:rPr>
          <w:rFonts w:hint="default" w:ascii="仿宋_GB2312" w:hAnsi="宋体" w:eastAsia="仿宋_GB2312"/>
          <w:sz w:val="32"/>
          <w:szCs w:val="32"/>
          <w:lang w:eastAsia="zh-CN"/>
        </w:rPr>
        <w:t>相应部件采用</w:t>
      </w:r>
      <w:r>
        <w:rPr>
          <w:rFonts w:hint="default" w:ascii="仿宋_GB2312" w:hAnsi="宋体" w:eastAsia="仿宋_GB2312"/>
          <w:sz w:val="32"/>
          <w:szCs w:val="32"/>
          <w:lang w:val="en-US" w:eastAsia="zh-CN"/>
        </w:rPr>
        <w:t>304</w:t>
      </w:r>
      <w:r>
        <w:rPr>
          <w:rFonts w:hint="eastAsia" w:ascii="仿宋_GB2312" w:hAnsi="宋体" w:eastAsia="仿宋_GB2312"/>
          <w:sz w:val="32"/>
          <w:szCs w:val="32"/>
          <w:lang w:val="en-US" w:eastAsia="zh-CN"/>
        </w:rPr>
        <w:t>不锈钢材质。</w:t>
      </w:r>
    </w:p>
    <w:p>
      <w:pPr>
        <w:pStyle w:val="2"/>
        <w:ind w:firstLine="560"/>
        <w:rPr>
          <w:rFonts w:hint="default"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default" w:ascii="仿宋_GB2312" w:hAnsi="宋体" w:eastAsia="仿宋_GB2312"/>
          <w:sz w:val="32"/>
          <w:szCs w:val="32"/>
        </w:rPr>
        <w:t>冷却塔选型为闭式逆流冷却塔。采用逆流式冷却方式，做到散热盲区极少，换热效率高；</w:t>
      </w:r>
    </w:p>
    <w:p>
      <w:pPr>
        <w:pStyle w:val="2"/>
        <w:ind w:firstLine="560"/>
        <w:rPr>
          <w:rFonts w:hint="default"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lang w:eastAsia="zh-CN"/>
        </w:rPr>
        <w:t>）供应商所</w:t>
      </w:r>
      <w:r>
        <w:rPr>
          <w:rFonts w:ascii="仿宋_GB2312" w:hAnsi="宋体" w:eastAsia="仿宋_GB2312"/>
          <w:sz w:val="32"/>
          <w:szCs w:val="32"/>
          <w:highlight w:val="none"/>
        </w:rPr>
        <w:t>提供</w:t>
      </w:r>
      <w:r>
        <w:rPr>
          <w:rFonts w:hint="eastAsia" w:ascii="仿宋_GB2312" w:hAnsi="宋体" w:eastAsia="仿宋_GB2312"/>
          <w:sz w:val="32"/>
          <w:szCs w:val="32"/>
          <w:highlight w:val="none"/>
          <w:lang w:eastAsia="zh-CN"/>
        </w:rPr>
        <w:t>的闭式逆流</w:t>
      </w:r>
      <w:r>
        <w:rPr>
          <w:rFonts w:ascii="仿宋_GB2312" w:hAnsi="宋体" w:eastAsia="仿宋_GB2312"/>
          <w:sz w:val="32"/>
          <w:szCs w:val="32"/>
          <w:highlight w:val="none"/>
        </w:rPr>
        <w:t>冷却塔，</w:t>
      </w:r>
      <w:r>
        <w:rPr>
          <w:rFonts w:hint="eastAsia" w:ascii="仿宋_GB2312" w:hAnsi="宋体" w:eastAsia="仿宋_GB2312"/>
          <w:sz w:val="32"/>
          <w:szCs w:val="32"/>
          <w:highlight w:val="none"/>
          <w:lang w:eastAsia="zh-CN"/>
        </w:rPr>
        <w:t>其</w:t>
      </w:r>
      <w:r>
        <w:rPr>
          <w:rFonts w:ascii="仿宋_GB2312" w:hAnsi="宋体" w:eastAsia="仿宋_GB2312"/>
          <w:sz w:val="32"/>
          <w:szCs w:val="32"/>
          <w:highlight w:val="none"/>
        </w:rPr>
        <w:t>循环水温</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夏季最高</w:t>
      </w:r>
      <w:r>
        <w:rPr>
          <w:rFonts w:ascii="仿宋_GB2312" w:hAnsi="宋体" w:eastAsia="仿宋_GB2312"/>
          <w:sz w:val="32"/>
          <w:szCs w:val="32"/>
          <w:highlight w:val="none"/>
        </w:rPr>
        <w:t>温度</w:t>
      </w:r>
      <w:r>
        <w:rPr>
          <w:rFonts w:hint="eastAsia" w:ascii="仿宋_GB2312" w:hAnsi="宋体" w:eastAsia="仿宋_GB2312"/>
          <w:sz w:val="32"/>
          <w:szCs w:val="32"/>
          <w:highlight w:val="none"/>
          <w:lang w:eastAsia="zh-CN"/>
        </w:rPr>
        <w:t>＜</w:t>
      </w:r>
      <w:r>
        <w:rPr>
          <w:rFonts w:ascii="仿宋_GB2312" w:hAnsi="宋体" w:eastAsia="仿宋_GB2312"/>
          <w:sz w:val="32"/>
          <w:szCs w:val="32"/>
          <w:highlight w:val="none"/>
        </w:rPr>
        <w:t>33℃，保证</w:t>
      </w:r>
      <w:r>
        <w:rPr>
          <w:rFonts w:hint="eastAsia" w:ascii="仿宋_GB2312" w:hAnsi="宋体" w:eastAsia="仿宋_GB2312"/>
          <w:sz w:val="32"/>
          <w:szCs w:val="32"/>
          <w:highlight w:val="none"/>
          <w:lang w:eastAsia="zh-CN"/>
        </w:rPr>
        <w:t>空水冷设备</w:t>
      </w:r>
      <w:r>
        <w:rPr>
          <w:rFonts w:ascii="仿宋_GB2312" w:hAnsi="宋体" w:eastAsia="仿宋_GB2312"/>
          <w:sz w:val="32"/>
          <w:szCs w:val="32"/>
          <w:highlight w:val="none"/>
        </w:rPr>
        <w:t>排风温度</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夏季最高</w:t>
      </w:r>
      <w:r>
        <w:rPr>
          <w:rFonts w:ascii="仿宋_GB2312" w:hAnsi="宋体" w:eastAsia="仿宋_GB2312"/>
          <w:sz w:val="32"/>
          <w:szCs w:val="32"/>
          <w:highlight w:val="none"/>
        </w:rPr>
        <w:t>温度≤冷却水温加5℃。</w:t>
      </w:r>
    </w:p>
    <w:p>
      <w:pPr>
        <w:pStyle w:val="2"/>
        <w:ind w:firstLine="560"/>
        <w:rPr>
          <w:rFonts w:hint="default"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）配置高效</w:t>
      </w:r>
      <w:r>
        <w:rPr>
          <w:rFonts w:hint="default" w:ascii="仿宋_GB2312" w:hAnsi="宋体" w:eastAsia="仿宋_GB2312"/>
          <w:sz w:val="32"/>
          <w:szCs w:val="32"/>
        </w:rPr>
        <w:t>收水器，控制运行漂水率≤0.001%；</w:t>
      </w:r>
    </w:p>
    <w:p>
      <w:pPr>
        <w:pStyle w:val="2"/>
        <w:ind w:firstLine="560"/>
        <w:rPr>
          <w:rFonts w:hint="default"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5</w:t>
      </w:r>
      <w:r>
        <w:rPr>
          <w:rFonts w:hint="eastAsia" w:ascii="仿宋_GB2312" w:hAnsi="宋体" w:eastAsia="仿宋_GB2312"/>
          <w:sz w:val="32"/>
          <w:szCs w:val="32"/>
          <w:lang w:eastAsia="zh-CN"/>
        </w:rPr>
        <w:t>）</w:t>
      </w:r>
      <w:r>
        <w:rPr>
          <w:rFonts w:hint="default" w:ascii="仿宋_GB2312" w:hAnsi="宋体" w:eastAsia="仿宋_GB2312"/>
          <w:sz w:val="32"/>
          <w:szCs w:val="32"/>
        </w:rPr>
        <w:t>高风筒设计，保证设备运行风量满足散热需求；</w:t>
      </w:r>
    </w:p>
    <w:p>
      <w:pPr>
        <w:pStyle w:val="2"/>
        <w:ind w:firstLine="560"/>
        <w:rPr>
          <w:rFonts w:hint="default"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6</w:t>
      </w:r>
      <w:r>
        <w:rPr>
          <w:rFonts w:hint="eastAsia" w:ascii="仿宋_GB2312" w:hAnsi="宋体" w:eastAsia="仿宋_GB2312"/>
          <w:sz w:val="32"/>
          <w:szCs w:val="32"/>
          <w:lang w:eastAsia="zh-CN"/>
        </w:rPr>
        <w:t>）</w:t>
      </w:r>
      <w:r>
        <w:rPr>
          <w:rFonts w:hint="default" w:ascii="仿宋_GB2312" w:hAnsi="宋体" w:eastAsia="仿宋_GB2312"/>
          <w:sz w:val="32"/>
          <w:szCs w:val="32"/>
        </w:rPr>
        <w:t>占地面积小，</w:t>
      </w:r>
      <w:r>
        <w:rPr>
          <w:rFonts w:hint="eastAsia" w:ascii="仿宋_GB2312" w:hAnsi="宋体" w:eastAsia="仿宋_GB2312"/>
          <w:sz w:val="32"/>
          <w:szCs w:val="32"/>
          <w:lang w:eastAsia="zh-CN"/>
        </w:rPr>
        <w:t>能够在较小空间布置</w:t>
      </w:r>
      <w:r>
        <w:rPr>
          <w:rFonts w:hint="default" w:ascii="仿宋_GB2312" w:hAnsi="宋体" w:eastAsia="仿宋_GB2312"/>
          <w:sz w:val="32"/>
          <w:szCs w:val="32"/>
        </w:rPr>
        <w:t>；</w:t>
      </w:r>
    </w:p>
    <w:p>
      <w:pPr>
        <w:pStyle w:val="2"/>
        <w:ind w:firstLine="560"/>
        <w:rPr>
          <w:rFonts w:hint="default"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7</w:t>
      </w:r>
      <w:r>
        <w:rPr>
          <w:rFonts w:hint="eastAsia" w:ascii="仿宋_GB2312" w:hAnsi="宋体" w:eastAsia="仿宋_GB2312"/>
          <w:sz w:val="32"/>
          <w:szCs w:val="32"/>
          <w:lang w:eastAsia="zh-CN"/>
        </w:rPr>
        <w:t>）</w:t>
      </w:r>
      <w:r>
        <w:rPr>
          <w:rFonts w:hint="default" w:ascii="仿宋_GB2312" w:hAnsi="宋体" w:eastAsia="仿宋_GB2312"/>
          <w:sz w:val="32"/>
          <w:szCs w:val="32"/>
        </w:rPr>
        <w:t>箱体采用密闭式循环，杜绝杂物进入塔体引起喷淋堵塞；</w:t>
      </w:r>
    </w:p>
    <w:p>
      <w:pPr>
        <w:pStyle w:val="2"/>
        <w:ind w:firstLine="560"/>
        <w:rPr>
          <w:rFonts w:hint="default"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8</w:t>
      </w:r>
      <w:r>
        <w:rPr>
          <w:rFonts w:hint="eastAsia" w:ascii="仿宋_GB2312" w:hAnsi="宋体" w:eastAsia="仿宋_GB2312"/>
          <w:sz w:val="32"/>
          <w:szCs w:val="32"/>
          <w:lang w:eastAsia="zh-CN"/>
        </w:rPr>
        <w:t>）</w:t>
      </w:r>
      <w:r>
        <w:rPr>
          <w:rFonts w:hint="default" w:ascii="仿宋_GB2312" w:hAnsi="宋体" w:eastAsia="仿宋_GB2312"/>
          <w:sz w:val="32"/>
          <w:szCs w:val="32"/>
        </w:rPr>
        <w:t>冷却器采用防冻节能型设计，在北方地区较低气温时保证循环水排干避免冻坏；</w:t>
      </w:r>
    </w:p>
    <w:p>
      <w:pPr>
        <w:pStyle w:val="2"/>
        <w:ind w:firstLine="560"/>
        <w:rPr>
          <w:rFonts w:hint="default"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lang w:eastAsia="zh-CN"/>
        </w:rPr>
        <w:t>）有</w:t>
      </w:r>
      <w:r>
        <w:rPr>
          <w:rFonts w:hint="default" w:ascii="仿宋_GB2312" w:hAnsi="宋体" w:eastAsia="仿宋_GB2312"/>
          <w:sz w:val="32"/>
          <w:szCs w:val="32"/>
          <w:highlight w:val="none"/>
        </w:rPr>
        <w:t>双回</w:t>
      </w:r>
      <w:r>
        <w:rPr>
          <w:rFonts w:hint="default" w:ascii="仿宋_GB2312" w:hAnsi="宋体" w:eastAsia="仿宋_GB2312"/>
          <w:b w:val="0"/>
          <w:bCs w:val="0"/>
          <w:sz w:val="32"/>
          <w:szCs w:val="32"/>
          <w:highlight w:val="none"/>
        </w:rPr>
        <w:t>路循环设计</w:t>
      </w:r>
      <w:r>
        <w:rPr>
          <w:rFonts w:hint="default" w:ascii="仿宋_GB2312" w:hAnsi="宋体" w:eastAsia="仿宋_GB2312"/>
          <w:sz w:val="32"/>
          <w:szCs w:val="32"/>
          <w:highlight w:val="none"/>
        </w:rPr>
        <w:t>，即使</w:t>
      </w:r>
      <w:r>
        <w:rPr>
          <w:rFonts w:hint="eastAsia" w:ascii="仿宋_GB2312" w:hAnsi="宋体" w:eastAsia="仿宋_GB2312"/>
          <w:sz w:val="32"/>
          <w:szCs w:val="32"/>
          <w:highlight w:val="none"/>
          <w:lang w:eastAsia="zh-CN"/>
        </w:rPr>
        <w:t>出现</w:t>
      </w:r>
      <w:r>
        <w:rPr>
          <w:rFonts w:hint="default" w:ascii="仿宋_GB2312" w:hAnsi="宋体" w:eastAsia="仿宋_GB2312"/>
          <w:sz w:val="32"/>
          <w:szCs w:val="32"/>
          <w:highlight w:val="none"/>
        </w:rPr>
        <w:t>循环故障，另一路循环也可正常工作。</w:t>
      </w:r>
    </w:p>
    <w:p>
      <w:pPr>
        <w:pStyle w:val="2"/>
        <w:ind w:firstLine="560"/>
        <w:rPr>
          <w:rFonts w:hint="eastAsia" w:ascii="宋体" w:hAnsi="宋体" w:eastAsia="宋体" w:cs="宋体"/>
          <w:sz w:val="32"/>
          <w:szCs w:val="32"/>
          <w:lang w:eastAsia="zh-CN"/>
        </w:rPr>
      </w:pPr>
      <w:r>
        <w:rPr>
          <w:rFonts w:hint="eastAsia" w:ascii="宋体" w:hAnsi="宋体" w:eastAsia="宋体" w:cs="宋体"/>
          <w:sz w:val="32"/>
          <w:szCs w:val="32"/>
          <w:lang w:val="en-US" w:eastAsia="zh-CN"/>
        </w:rPr>
        <w:t>4.4</w:t>
      </w:r>
      <w:r>
        <w:rPr>
          <w:rFonts w:hint="eastAsia" w:ascii="宋体" w:hAnsi="宋体" w:eastAsia="宋体" w:cs="宋体"/>
          <w:sz w:val="32"/>
          <w:szCs w:val="32"/>
          <w:lang w:eastAsia="zh-CN"/>
        </w:rPr>
        <w:t>空水冷</w:t>
      </w:r>
      <w:r>
        <w:rPr>
          <w:rFonts w:hint="eastAsia" w:ascii="宋体" w:hAnsi="宋体" w:eastAsia="宋体" w:cs="宋体"/>
          <w:sz w:val="32"/>
          <w:szCs w:val="32"/>
        </w:rPr>
        <w:t>设备工艺</w:t>
      </w:r>
      <w:r>
        <w:rPr>
          <w:rFonts w:hint="eastAsia" w:ascii="宋体" w:hAnsi="宋体" w:eastAsia="宋体" w:cs="宋体"/>
          <w:sz w:val="32"/>
          <w:szCs w:val="32"/>
          <w:lang w:eastAsia="zh-CN"/>
        </w:rPr>
        <w:t>要求</w:t>
      </w:r>
    </w:p>
    <w:p>
      <w:pPr>
        <w:pStyle w:val="2"/>
        <w:ind w:firstLine="560"/>
        <w:rPr>
          <w:rFonts w:ascii="仿宋_GB2312" w:hAnsi="宋体" w:eastAsia="仿宋_GB2312"/>
          <w:sz w:val="32"/>
          <w:szCs w:val="32"/>
        </w:rPr>
      </w:pPr>
      <w:r>
        <w:rPr>
          <w:rFonts w:hint="eastAsia" w:ascii="仿宋_GB2312" w:hAnsi="宋体" w:eastAsia="仿宋_GB2312"/>
          <w:sz w:val="32"/>
          <w:szCs w:val="32"/>
          <w:lang w:val="en-US" w:eastAsia="zh-CN"/>
        </w:rPr>
        <w:t>（1）</w:t>
      </w:r>
      <w:r>
        <w:rPr>
          <w:rFonts w:hint="default" w:ascii="仿宋_GB2312" w:hAnsi="宋体" w:eastAsia="仿宋_GB2312"/>
          <w:sz w:val="32"/>
          <w:szCs w:val="32"/>
        </w:rPr>
        <w:t>水冷设备包含翅片换热器、增压风机、电气控制箱及管路附件。</w:t>
      </w:r>
    </w:p>
    <w:p>
      <w:pPr>
        <w:pStyle w:val="2"/>
        <w:spacing w:line="360" w:lineRule="auto"/>
        <w:rPr>
          <w:rFonts w:hint="default"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default" w:ascii="仿宋_GB2312" w:hAnsi="宋体" w:eastAsia="仿宋_GB2312"/>
          <w:sz w:val="32"/>
          <w:szCs w:val="32"/>
        </w:rPr>
        <w:t>柜体框架由一次成型的铝合金材质构建而成的框架；面板</w:t>
      </w:r>
      <w:r>
        <w:rPr>
          <w:rFonts w:hint="eastAsia" w:ascii="仿宋_GB2312" w:hAnsi="宋体" w:eastAsia="仿宋_GB2312"/>
          <w:sz w:val="32"/>
          <w:szCs w:val="32"/>
          <w:lang w:eastAsia="zh-CN"/>
        </w:rPr>
        <w:t>美观大方耐腐蚀</w:t>
      </w:r>
      <w:r>
        <w:rPr>
          <w:rFonts w:hint="default" w:ascii="仿宋_GB2312" w:hAnsi="宋体" w:eastAsia="仿宋_GB2312"/>
          <w:sz w:val="32"/>
          <w:szCs w:val="32"/>
        </w:rPr>
        <w:t>，内外板之间充注高密度（42kg/m3*±10%）一次发泡成型的硬质聚氨酯，并高压补强，具有高效保温隔热、隔音、阻燃、耐腐蚀等优点。</w:t>
      </w:r>
    </w:p>
    <w:p>
      <w:pPr>
        <w:pStyle w:val="2"/>
        <w:spacing w:line="360" w:lineRule="auto"/>
        <w:rPr>
          <w:rFonts w:hint="default"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default" w:ascii="仿宋_GB2312" w:hAnsi="宋体" w:eastAsia="仿宋_GB2312"/>
          <w:sz w:val="32"/>
          <w:szCs w:val="32"/>
        </w:rPr>
        <w:t>空水冷设备底座设有固定孔，机身设有检修门，方便检修、维护。</w:t>
      </w:r>
    </w:p>
    <w:p>
      <w:pPr>
        <w:pStyle w:val="2"/>
        <w:spacing w:line="360" w:lineRule="auto"/>
        <w:rPr>
          <w:rFonts w:hint="default"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w:t>
      </w:r>
      <w:r>
        <w:rPr>
          <w:rFonts w:hint="default" w:ascii="仿宋_GB2312" w:hAnsi="宋体" w:eastAsia="仿宋_GB2312"/>
          <w:sz w:val="32"/>
          <w:szCs w:val="32"/>
        </w:rPr>
        <w:t>空水冷设备按照户外安装型防护设计，可以满足户外严苛的环境要求。</w:t>
      </w:r>
    </w:p>
    <w:p>
      <w:pPr>
        <w:pStyle w:val="2"/>
        <w:spacing w:line="360" w:lineRule="auto"/>
        <w:rPr>
          <w:rFonts w:hint="default"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5</w:t>
      </w:r>
      <w:r>
        <w:rPr>
          <w:rFonts w:hint="eastAsia" w:ascii="仿宋_GB2312" w:hAnsi="宋体" w:eastAsia="仿宋_GB2312"/>
          <w:sz w:val="32"/>
          <w:szCs w:val="32"/>
          <w:lang w:eastAsia="zh-CN"/>
        </w:rPr>
        <w:t>）</w:t>
      </w:r>
      <w:r>
        <w:rPr>
          <w:rFonts w:hint="default" w:ascii="仿宋_GB2312" w:hAnsi="宋体" w:eastAsia="仿宋_GB2312"/>
          <w:sz w:val="32"/>
          <w:szCs w:val="32"/>
        </w:rPr>
        <w:t>空水冷设备底部全部采用不锈钢制作防漏积水盘。</w:t>
      </w:r>
    </w:p>
    <w:p>
      <w:pPr>
        <w:pStyle w:val="2"/>
        <w:spacing w:line="360" w:lineRule="auto"/>
        <w:rPr>
          <w:rFonts w:hint="default"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6</w:t>
      </w:r>
      <w:r>
        <w:rPr>
          <w:rFonts w:hint="eastAsia" w:ascii="仿宋_GB2312" w:hAnsi="宋体" w:eastAsia="仿宋_GB2312"/>
          <w:sz w:val="32"/>
          <w:szCs w:val="32"/>
          <w:lang w:eastAsia="zh-CN"/>
        </w:rPr>
        <w:t>）</w:t>
      </w:r>
      <w:r>
        <w:rPr>
          <w:rFonts w:hint="default" w:ascii="仿宋_GB2312" w:hAnsi="宋体" w:eastAsia="仿宋_GB2312"/>
          <w:sz w:val="32"/>
          <w:szCs w:val="32"/>
        </w:rPr>
        <w:t>空水冷设备采用品牌高品质高风量符合现场工况的增压风机。风机安装可靠，风机风压、风量</w:t>
      </w:r>
      <w:r>
        <w:rPr>
          <w:rFonts w:hint="eastAsia" w:ascii="仿宋_GB2312" w:hAnsi="宋体" w:eastAsia="仿宋_GB2312"/>
          <w:sz w:val="32"/>
          <w:szCs w:val="32"/>
          <w:lang w:eastAsia="zh-CN"/>
        </w:rPr>
        <w:t>要</w:t>
      </w:r>
      <w:r>
        <w:rPr>
          <w:rFonts w:hint="default" w:ascii="仿宋_GB2312" w:hAnsi="宋体" w:eastAsia="仿宋_GB2312"/>
          <w:sz w:val="32"/>
          <w:szCs w:val="32"/>
        </w:rPr>
        <w:t>冗余设计。</w:t>
      </w:r>
    </w:p>
    <w:p>
      <w:pPr>
        <w:pStyle w:val="2"/>
        <w:spacing w:line="360" w:lineRule="auto"/>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7</w:t>
      </w:r>
      <w:r>
        <w:rPr>
          <w:rFonts w:hint="eastAsia" w:ascii="仿宋_GB2312" w:hAnsi="宋体" w:eastAsia="仿宋_GB2312"/>
          <w:sz w:val="32"/>
          <w:szCs w:val="32"/>
          <w:lang w:eastAsia="zh-CN"/>
        </w:rPr>
        <w:t>）风机品牌为上丰风机、创新风机、风臣风机、天福风机等国内知名品牌。</w:t>
      </w:r>
    </w:p>
    <w:p>
      <w:pPr>
        <w:pStyle w:val="2"/>
        <w:spacing w:line="360" w:lineRule="auto"/>
        <w:rPr>
          <w:rFonts w:hint="default"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8</w:t>
      </w:r>
      <w:r>
        <w:rPr>
          <w:rFonts w:hint="eastAsia" w:ascii="仿宋_GB2312" w:hAnsi="宋体" w:eastAsia="仿宋_GB2312"/>
          <w:sz w:val="32"/>
          <w:szCs w:val="32"/>
          <w:lang w:eastAsia="zh-CN"/>
        </w:rPr>
        <w:t>）</w:t>
      </w:r>
      <w:r>
        <w:rPr>
          <w:rFonts w:hint="default" w:ascii="仿宋_GB2312" w:hAnsi="宋体" w:eastAsia="仿宋_GB2312"/>
          <w:sz w:val="32"/>
          <w:szCs w:val="32"/>
        </w:rPr>
        <w:t>空水冷设备有运行、故障检测功能，</w:t>
      </w:r>
      <w:r>
        <w:rPr>
          <w:rFonts w:hint="eastAsia" w:ascii="仿宋_GB2312" w:hAnsi="宋体" w:eastAsia="仿宋_GB2312"/>
          <w:sz w:val="32"/>
          <w:szCs w:val="32"/>
          <w:lang w:eastAsia="zh-CN"/>
        </w:rPr>
        <w:t>除就地控制功能以外，应接入</w:t>
      </w:r>
      <w:r>
        <w:rPr>
          <w:rFonts w:hint="eastAsia" w:ascii="仿宋_GB2312" w:hAnsi="宋体" w:eastAsia="仿宋_GB2312"/>
          <w:sz w:val="32"/>
          <w:szCs w:val="32"/>
          <w:lang w:val="en-US" w:eastAsia="zh-CN"/>
        </w:rPr>
        <w:t>PLC系统进行控制运行。同时</w:t>
      </w:r>
      <w:r>
        <w:rPr>
          <w:rFonts w:hint="default" w:ascii="仿宋_GB2312" w:hAnsi="宋体" w:eastAsia="仿宋_GB2312"/>
          <w:sz w:val="32"/>
          <w:szCs w:val="32"/>
        </w:rPr>
        <w:t>预留有远程控制接口DCS</w:t>
      </w:r>
      <w:r>
        <w:rPr>
          <w:rFonts w:hint="eastAsia" w:ascii="仿宋_GB2312" w:hAnsi="宋体" w:eastAsia="仿宋_GB2312"/>
          <w:sz w:val="32"/>
          <w:szCs w:val="32"/>
          <w:lang w:eastAsia="zh-CN"/>
        </w:rPr>
        <w:t>并负责与招标人</w:t>
      </w:r>
      <w:r>
        <w:rPr>
          <w:rFonts w:hint="eastAsia" w:ascii="仿宋_GB2312" w:hAnsi="宋体" w:eastAsia="仿宋_GB2312"/>
          <w:sz w:val="32"/>
          <w:szCs w:val="32"/>
          <w:lang w:val="en-US" w:eastAsia="zh-CN"/>
        </w:rPr>
        <w:t>DCS系统连通调试正常运行。要求</w:t>
      </w:r>
      <w:r>
        <w:rPr>
          <w:rFonts w:hint="default" w:ascii="仿宋_GB2312" w:hAnsi="宋体" w:eastAsia="仿宋_GB2312"/>
          <w:sz w:val="32"/>
          <w:szCs w:val="32"/>
        </w:rPr>
        <w:t>有漏液声光报警、风机故障声光报警，并预留与变频器的信号连接端子</w:t>
      </w:r>
      <w:r>
        <w:rPr>
          <w:rFonts w:hint="eastAsia" w:ascii="仿宋_GB2312" w:hAnsi="宋体" w:eastAsia="仿宋_GB2312"/>
          <w:sz w:val="32"/>
          <w:szCs w:val="32"/>
          <w:lang w:eastAsia="zh-CN"/>
        </w:rPr>
        <w:t>并连接，实现与变频器的联动开停</w:t>
      </w:r>
      <w:r>
        <w:rPr>
          <w:rFonts w:hint="default" w:ascii="仿宋_GB2312" w:hAnsi="宋体" w:eastAsia="仿宋_GB2312"/>
          <w:sz w:val="32"/>
          <w:szCs w:val="32"/>
        </w:rPr>
        <w:t>。</w:t>
      </w:r>
    </w:p>
    <w:p>
      <w:pPr>
        <w:pStyle w:val="2"/>
        <w:spacing w:line="360" w:lineRule="auto"/>
        <w:rPr>
          <w:rFonts w:hint="default"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9</w:t>
      </w:r>
      <w:r>
        <w:rPr>
          <w:rFonts w:hint="eastAsia" w:ascii="仿宋_GB2312" w:hAnsi="宋体" w:eastAsia="仿宋_GB2312"/>
          <w:sz w:val="32"/>
          <w:szCs w:val="32"/>
          <w:lang w:eastAsia="zh-CN"/>
        </w:rPr>
        <w:t>）</w:t>
      </w:r>
      <w:r>
        <w:rPr>
          <w:rFonts w:hint="default" w:ascii="仿宋_GB2312" w:hAnsi="宋体" w:eastAsia="仿宋_GB2312"/>
          <w:sz w:val="32"/>
          <w:szCs w:val="32"/>
        </w:rPr>
        <w:t>翅片换热器采用紫铜管套铝铂结构，冷却水工作水压为0.2-0.4Mpa。</w:t>
      </w:r>
    </w:p>
    <w:p>
      <w:pPr>
        <w:pStyle w:val="2"/>
        <w:spacing w:line="360" w:lineRule="auto"/>
        <w:rPr>
          <w:rFonts w:hint="default"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10</w:t>
      </w:r>
      <w:r>
        <w:rPr>
          <w:rFonts w:hint="eastAsia" w:ascii="仿宋_GB2312" w:hAnsi="宋体" w:eastAsia="仿宋_GB2312"/>
          <w:sz w:val="32"/>
          <w:szCs w:val="32"/>
          <w:lang w:eastAsia="zh-CN"/>
        </w:rPr>
        <w:t>）</w:t>
      </w:r>
      <w:r>
        <w:rPr>
          <w:rFonts w:hint="default" w:ascii="仿宋_GB2312" w:hAnsi="宋体" w:eastAsia="仿宋_GB2312"/>
          <w:sz w:val="32"/>
          <w:szCs w:val="32"/>
        </w:rPr>
        <w:t xml:space="preserve">翅片换热器根据水流特性设计，水流低进高出，表冷器进/出口水管分别加装排水阀和排气阀。可以排干内部存水，保证在严寒条件下停机不被冻裂。  </w:t>
      </w:r>
    </w:p>
    <w:p>
      <w:pPr>
        <w:pStyle w:val="2"/>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4.5</w:t>
      </w:r>
      <w:r>
        <w:rPr>
          <w:rFonts w:hint="default" w:ascii="仿宋_GB2312" w:hAnsi="宋体" w:eastAsia="仿宋_GB2312"/>
          <w:sz w:val="32"/>
          <w:szCs w:val="32"/>
        </w:rPr>
        <w:t>设备材质要求</w:t>
      </w:r>
    </w:p>
    <w:p>
      <w:pPr>
        <w:pStyle w:val="2"/>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r>
        <w:rPr>
          <w:rFonts w:hint="default" w:ascii="仿宋_GB2312" w:hAnsi="宋体" w:eastAsia="仿宋_GB2312"/>
          <w:sz w:val="32"/>
          <w:szCs w:val="32"/>
        </w:rPr>
        <w:t>风管材质为1mm厚镀锌板。</w:t>
      </w:r>
    </w:p>
    <w:p>
      <w:pPr>
        <w:pStyle w:val="2"/>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default" w:ascii="仿宋_GB2312" w:hAnsi="宋体" w:eastAsia="仿宋_GB2312"/>
          <w:sz w:val="32"/>
          <w:szCs w:val="32"/>
        </w:rPr>
        <w:t>换热器管及翅片材质:紫铜管+铝箱翅片，铜管厚度≥0.5mm,铝质翅片厚度≥0.145m,翅片间距≤2.5mm，</w:t>
      </w:r>
      <w:r>
        <w:rPr>
          <w:rFonts w:hint="default" w:ascii="仿宋_GB2312" w:hAnsi="宋体" w:eastAsia="仿宋_GB2312"/>
          <w:color w:val="auto"/>
          <w:sz w:val="32"/>
          <w:szCs w:val="32"/>
          <w:highlight w:val="none"/>
        </w:rPr>
        <w:t>投标书提供换</w:t>
      </w:r>
      <w:r>
        <w:rPr>
          <w:rFonts w:hint="default" w:ascii="仿宋_GB2312" w:hAnsi="宋体" w:eastAsia="仿宋_GB2312"/>
          <w:sz w:val="32"/>
          <w:szCs w:val="32"/>
        </w:rPr>
        <w:t>热器换热面积及详细计算过程;</w:t>
      </w:r>
    </w:p>
    <w:p>
      <w:pPr>
        <w:pStyle w:val="2"/>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default" w:ascii="仿宋_GB2312" w:hAnsi="宋体" w:eastAsia="仿宋_GB2312"/>
          <w:sz w:val="32"/>
          <w:szCs w:val="32"/>
        </w:rPr>
        <w:t>空水冷设备应具备主动除湿功能，保证室内空气洁净度、避开露点;</w:t>
      </w:r>
    </w:p>
    <w:p>
      <w:pPr>
        <w:pStyle w:val="2"/>
        <w:spacing w:line="360" w:lineRule="auto"/>
        <w:ind w:firstLine="640" w:firstLineChars="200"/>
        <w:rPr>
          <w:rFonts w:hint="default"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w:t>
      </w:r>
      <w:r>
        <w:rPr>
          <w:rFonts w:hint="default" w:ascii="仿宋_GB2312" w:hAnsi="宋体" w:eastAsia="仿宋_GB2312"/>
          <w:sz w:val="32"/>
          <w:szCs w:val="32"/>
        </w:rPr>
        <w:t>面板总厚度为30mm，箱体的设计承压能力不小于风机全压的1.5倍。隔热性能达到DIN EN 1776 规范的T2 标准。面板与框架之间采用不锈钢螺丝/螺钉连接，螺丝/螺钉均匀分布在设备上。面板与框架连接处、面板与面板连接处采取了良好的密封措施，保温性能好，且外形美观、气密性良好、漏风率极低；门体尺寸不低于500×500mm，保证检修的空间。</w:t>
      </w:r>
    </w:p>
    <w:p>
      <w:pPr>
        <w:pStyle w:val="2"/>
        <w:spacing w:line="360" w:lineRule="auto"/>
        <w:ind w:firstLine="640" w:firstLineChars="200"/>
        <w:rPr>
          <w:rFonts w:hint="default" w:ascii="仿宋_GB2312" w:hAnsi="宋体" w:eastAsia="仿宋_GB2312"/>
          <w:sz w:val="32"/>
          <w:szCs w:val="32"/>
          <w:highlight w:val="none"/>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5</w:t>
      </w:r>
      <w:r>
        <w:rPr>
          <w:rFonts w:hint="eastAsia" w:ascii="仿宋_GB2312" w:hAnsi="宋体" w:eastAsia="仿宋_GB2312"/>
          <w:sz w:val="32"/>
          <w:szCs w:val="32"/>
          <w:lang w:eastAsia="zh-CN"/>
        </w:rPr>
        <w:t>）</w:t>
      </w:r>
      <w:r>
        <w:rPr>
          <w:rFonts w:hint="default" w:ascii="仿宋_GB2312" w:hAnsi="宋体" w:eastAsia="仿宋_GB2312"/>
          <w:sz w:val="32"/>
          <w:szCs w:val="32"/>
        </w:rPr>
        <w:t>全部管道由空水冷厂家铺设，</w:t>
      </w:r>
      <w:r>
        <w:rPr>
          <w:rFonts w:hint="default" w:ascii="仿宋_GB2312" w:hAnsi="宋体" w:eastAsia="仿宋_GB2312"/>
          <w:sz w:val="32"/>
          <w:szCs w:val="32"/>
          <w:highlight w:val="none"/>
        </w:rPr>
        <w:t>供水管采用无缝钢管材质，走管沟铺设，管道外裹2公分厚保温棉并包铝皮保护。</w:t>
      </w:r>
    </w:p>
    <w:p>
      <w:pPr>
        <w:pStyle w:val="2"/>
        <w:spacing w:line="360" w:lineRule="auto"/>
        <w:ind w:firstLine="640" w:firstLineChars="200"/>
        <w:rPr>
          <w:rFonts w:hint="default" w:ascii="仿宋_GB2312" w:hAnsi="宋体" w:eastAsia="仿宋_GB2312"/>
          <w:sz w:val="32"/>
          <w:szCs w:val="32"/>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lang w:eastAsia="zh-CN"/>
        </w:rPr>
        <w:t>）</w:t>
      </w:r>
      <w:r>
        <w:rPr>
          <w:rFonts w:hint="default" w:ascii="仿宋_GB2312" w:hAnsi="宋体" w:eastAsia="仿宋_GB2312"/>
          <w:sz w:val="32"/>
          <w:szCs w:val="32"/>
          <w:highlight w:val="none"/>
        </w:rPr>
        <w:t>风机：采用国内著名品牌</w:t>
      </w:r>
      <w:r>
        <w:rPr>
          <w:rFonts w:hint="eastAsia" w:ascii="仿宋_GB2312" w:hAnsi="宋体" w:eastAsia="仿宋_GB2312"/>
          <w:sz w:val="32"/>
          <w:szCs w:val="32"/>
          <w:highlight w:val="none"/>
          <w:lang w:val="en-US" w:eastAsia="zh-CN"/>
        </w:rPr>
        <w:t>(</w:t>
      </w:r>
      <w:r>
        <w:rPr>
          <w:rFonts w:hint="eastAsia" w:ascii="仿宋_GB2312" w:hAnsi="宋体" w:eastAsia="仿宋_GB2312"/>
          <w:sz w:val="32"/>
          <w:szCs w:val="32"/>
          <w:highlight w:val="none"/>
          <w:lang w:eastAsia="zh-CN"/>
        </w:rPr>
        <w:t>风机品牌为上丰风机、创新风机、风臣风机、天福风机等国内知名品牌</w:t>
      </w:r>
      <w:r>
        <w:rPr>
          <w:rFonts w:hint="eastAsia" w:ascii="仿宋_GB2312" w:hAnsi="宋体" w:eastAsia="仿宋_GB2312"/>
          <w:sz w:val="32"/>
          <w:szCs w:val="32"/>
          <w:highlight w:val="none"/>
          <w:lang w:val="en-US" w:eastAsia="zh-CN"/>
        </w:rPr>
        <w:t>)</w:t>
      </w:r>
      <w:r>
        <w:rPr>
          <w:rFonts w:hint="default" w:ascii="仿宋_GB2312" w:hAnsi="宋体" w:eastAsia="仿宋_GB2312"/>
          <w:sz w:val="32"/>
          <w:szCs w:val="32"/>
          <w:highlight w:val="none"/>
        </w:rPr>
        <w:t>，风机出厂前须经</w:t>
      </w:r>
      <w:r>
        <w:rPr>
          <w:rFonts w:hint="default" w:ascii="仿宋_GB2312" w:hAnsi="宋体" w:eastAsia="仿宋_GB2312"/>
          <w:sz w:val="32"/>
          <w:szCs w:val="32"/>
        </w:rPr>
        <w:t>过严格的静平衡和动平衡测试，具有噪音低、效率高、寿命长、性能稳定之特点。电机：采用国内著名品牌三相异步电机，不得选用国家工信部公示的《高耗能落后机电设备(产品)淘汰目录》内的设备。</w:t>
      </w:r>
    </w:p>
    <w:p>
      <w:pPr>
        <w:pStyle w:val="2"/>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7</w:t>
      </w:r>
      <w:r>
        <w:rPr>
          <w:rFonts w:hint="eastAsia" w:ascii="仿宋_GB2312" w:hAnsi="宋体" w:eastAsia="仿宋_GB2312"/>
          <w:sz w:val="32"/>
          <w:szCs w:val="32"/>
          <w:lang w:eastAsia="zh-CN"/>
        </w:rPr>
        <w:t>）</w:t>
      </w:r>
      <w:r>
        <w:rPr>
          <w:rFonts w:hint="default" w:ascii="仿宋_GB2312" w:hAnsi="宋体" w:eastAsia="仿宋_GB2312"/>
          <w:sz w:val="32"/>
          <w:szCs w:val="32"/>
        </w:rPr>
        <w:t>空水冷设备基础及风道进出口开孔由空水冷厂家负责，基础开孔尺寸定位由</w:t>
      </w:r>
      <w:r>
        <w:rPr>
          <w:rFonts w:hint="eastAsia" w:ascii="仿宋_GB2312" w:hAnsi="宋体" w:eastAsia="仿宋_GB2312"/>
          <w:sz w:val="32"/>
          <w:szCs w:val="32"/>
          <w:lang w:eastAsia="zh-CN"/>
        </w:rPr>
        <w:t>供应商</w:t>
      </w:r>
      <w:r>
        <w:rPr>
          <w:rFonts w:hint="default" w:ascii="仿宋_GB2312" w:hAnsi="宋体" w:eastAsia="仿宋_GB2312"/>
          <w:sz w:val="32"/>
          <w:szCs w:val="32"/>
        </w:rPr>
        <w:t>根据现场情况确定并与招标方共同确认方案。</w:t>
      </w:r>
    </w:p>
    <w:p>
      <w:pPr>
        <w:pStyle w:val="2"/>
        <w:spacing w:line="360" w:lineRule="auto"/>
        <w:ind w:firstLine="640" w:firstLineChars="200"/>
        <w:rPr>
          <w:rFonts w:hint="default" w:ascii="仿宋_GB2312" w:hAnsi="宋体" w:eastAsia="仿宋_GB2312"/>
          <w:sz w:val="32"/>
          <w:szCs w:val="32"/>
          <w:highlight w:val="none"/>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8</w:t>
      </w:r>
      <w:r>
        <w:rPr>
          <w:rFonts w:hint="eastAsia" w:ascii="仿宋_GB2312" w:hAnsi="宋体" w:eastAsia="仿宋_GB2312"/>
          <w:sz w:val="32"/>
          <w:szCs w:val="32"/>
          <w:lang w:eastAsia="zh-CN"/>
        </w:rPr>
        <w:t>）</w:t>
      </w:r>
      <w:r>
        <w:rPr>
          <w:rFonts w:hint="default" w:ascii="仿宋_GB2312" w:hAnsi="宋体" w:eastAsia="仿宋_GB2312"/>
          <w:sz w:val="32"/>
          <w:szCs w:val="32"/>
        </w:rPr>
        <w:t>冷却塔采用闭式冷却塔，设计流量应≥40t/h，其中换热器须使用304不锈钢材质</w:t>
      </w:r>
      <w:r>
        <w:rPr>
          <w:rFonts w:hint="default" w:ascii="仿宋_GB2312" w:hAnsi="宋体" w:eastAsia="仿宋_GB2312"/>
          <w:sz w:val="32"/>
          <w:szCs w:val="32"/>
          <w:highlight w:val="none"/>
        </w:rPr>
        <w:t>，换热管尺寸为φ19</w:t>
      </w:r>
      <w:r>
        <w:rPr>
          <w:rFonts w:hint="eastAsia" w:ascii="仿宋_GB2312" w:hAnsi="宋体" w:eastAsia="仿宋_GB2312"/>
          <w:sz w:val="32"/>
          <w:szCs w:val="32"/>
          <w:highlight w:val="none"/>
          <w:lang w:eastAsia="zh-CN"/>
        </w:rPr>
        <w:t>厚度</w:t>
      </w:r>
      <w:r>
        <w:rPr>
          <w:rFonts w:hint="eastAsia" w:ascii="仿宋_GB2312" w:hAnsi="宋体" w:eastAsia="仿宋_GB2312"/>
          <w:sz w:val="32"/>
          <w:szCs w:val="32"/>
          <w:highlight w:val="none"/>
          <w:lang w:val="en-US" w:eastAsia="zh-CN"/>
        </w:rPr>
        <w:t>0.7mm</w:t>
      </w:r>
      <w:r>
        <w:rPr>
          <w:rFonts w:hint="default" w:ascii="仿宋_GB2312" w:hAnsi="宋体" w:eastAsia="仿宋_GB2312"/>
          <w:sz w:val="32"/>
          <w:szCs w:val="32"/>
          <w:highlight w:val="none"/>
        </w:rPr>
        <w:t>。</w:t>
      </w:r>
    </w:p>
    <w:p>
      <w:pPr>
        <w:pStyle w:val="2"/>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4.6</w:t>
      </w:r>
      <w:r>
        <w:rPr>
          <w:rFonts w:hint="eastAsia" w:ascii="宋体" w:hAnsi="宋体" w:eastAsia="宋体" w:cs="宋体"/>
          <w:sz w:val="32"/>
          <w:szCs w:val="32"/>
        </w:rPr>
        <w:t>电气</w:t>
      </w:r>
      <w:r>
        <w:rPr>
          <w:rFonts w:hint="eastAsia" w:ascii="宋体" w:hAnsi="宋体" w:eastAsia="宋体" w:cs="宋体"/>
          <w:sz w:val="32"/>
          <w:szCs w:val="32"/>
          <w:lang w:eastAsia="zh-CN"/>
        </w:rPr>
        <w:t>及自动化</w:t>
      </w:r>
      <w:r>
        <w:rPr>
          <w:rFonts w:hint="eastAsia" w:ascii="宋体" w:hAnsi="宋体" w:eastAsia="宋体" w:cs="宋体"/>
          <w:sz w:val="32"/>
          <w:szCs w:val="32"/>
        </w:rPr>
        <w:t>要求</w:t>
      </w:r>
    </w:p>
    <w:p>
      <w:pPr>
        <w:pStyle w:val="2"/>
        <w:spacing w:line="360" w:lineRule="auto"/>
        <w:ind w:firstLine="640" w:firstLineChars="200"/>
        <w:rPr>
          <w:rFonts w:hint="default" w:ascii="仿宋_GB2312" w:hAnsi="宋体" w:eastAsia="仿宋_GB2312"/>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default" w:ascii="仿宋_GB2312" w:hAnsi="宋体" w:eastAsia="仿宋_GB2312"/>
          <w:sz w:val="32"/>
          <w:szCs w:val="32"/>
        </w:rPr>
        <w:t>设备须具备状态自检和故障自诊报警功能，能满足检修过程中的生产、品质、安全管理需求；</w:t>
      </w:r>
    </w:p>
    <w:p>
      <w:pPr>
        <w:pStyle w:val="2"/>
        <w:spacing w:line="36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上传</w:t>
      </w:r>
      <w:r>
        <w:rPr>
          <w:rFonts w:hint="eastAsia" w:ascii="仿宋_GB2312" w:hAnsi="宋体" w:eastAsia="仿宋_GB2312"/>
          <w:sz w:val="32"/>
          <w:szCs w:val="32"/>
          <w:lang w:val="en-US" w:eastAsia="zh-CN"/>
        </w:rPr>
        <w:t>DCS信号说明，见下表</w:t>
      </w:r>
    </w:p>
    <w:p>
      <w:pPr>
        <w:pStyle w:val="2"/>
        <w:spacing w:line="360" w:lineRule="auto"/>
        <w:ind w:firstLine="420" w:firstLineChars="200"/>
        <w:rPr>
          <w:rFonts w:ascii="仿宋_GB2312" w:hAnsi="宋体" w:eastAsia="仿宋_GB2312"/>
          <w:sz w:val="28"/>
          <w:szCs w:val="28"/>
          <w:highlight w:val="yellow"/>
        </w:rPr>
      </w:pPr>
      <w:r>
        <w:drawing>
          <wp:inline distT="0" distB="0" distL="114300" distR="114300">
            <wp:extent cx="4810125" cy="2333625"/>
            <wp:effectExtent l="0" t="0" r="571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810125" cy="2333625"/>
                    </a:xfrm>
                    <a:prstGeom prst="rect">
                      <a:avLst/>
                    </a:prstGeom>
                    <a:noFill/>
                    <a:ln>
                      <a:noFill/>
                    </a:ln>
                  </pic:spPr>
                </pic:pic>
              </a:graphicData>
            </a:graphic>
          </wp:inline>
        </w:drawing>
      </w:r>
    </w:p>
    <w:p>
      <w:pPr>
        <w:pStyle w:val="2"/>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电气系统的管线应排列整齐、合理、连接紧密牢固，穿过金属孔洞时应有绝缘保护套管，各元件和组件—般应可单独拆装，并维修方便;</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设备和仪表等的设计、制造与试验应符合国际工业标准(ISO)和国际电工标准(IEC),度量单位全部采用国际单位标准制(SI);</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所有电器元气件、易损元气件需要有稳固、清晰、方便查看的标示；</w:t>
      </w:r>
    </w:p>
    <w:p>
      <w:pPr>
        <w:pStyle w:val="2"/>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空水冷电控箱设有手动和自动两种工作模式；手动控制是指在空水冷电控箱盘面进行操作或应急处理；自动控制是在自动方式下，空水冷电控箱，</w:t>
      </w:r>
      <w:r>
        <w:rPr>
          <w:rFonts w:hint="eastAsia" w:ascii="仿宋_GB2312" w:hAnsi="仿宋_GB2312" w:eastAsia="仿宋_GB2312" w:cs="仿宋_GB2312"/>
          <w:sz w:val="32"/>
          <w:szCs w:val="32"/>
          <w:highlight w:val="none"/>
          <w:lang w:eastAsia="zh-CN"/>
        </w:rPr>
        <w:t>主要</w:t>
      </w:r>
      <w:r>
        <w:rPr>
          <w:rFonts w:hint="eastAsia" w:ascii="仿宋_GB2312" w:hAnsi="仿宋_GB2312" w:eastAsia="仿宋_GB2312" w:cs="仿宋_GB2312"/>
          <w:sz w:val="32"/>
          <w:szCs w:val="32"/>
          <w:highlight w:val="none"/>
        </w:rPr>
        <w:t>元器件</w:t>
      </w:r>
      <w:r>
        <w:rPr>
          <w:rFonts w:hint="eastAsia" w:ascii="仿宋_GB2312" w:hAnsi="仿宋_GB2312" w:eastAsia="仿宋_GB2312" w:cs="仿宋_GB2312"/>
          <w:sz w:val="32"/>
          <w:szCs w:val="32"/>
          <w:highlight w:val="none"/>
          <w:lang w:eastAsia="zh-CN"/>
        </w:rPr>
        <w:t>（断路器、接触器、继电器）</w:t>
      </w:r>
      <w:r>
        <w:rPr>
          <w:rFonts w:hint="eastAsia" w:ascii="仿宋_GB2312" w:hAnsi="仿宋_GB2312" w:eastAsia="仿宋_GB2312" w:cs="仿宋_GB2312"/>
          <w:sz w:val="32"/>
          <w:szCs w:val="32"/>
          <w:highlight w:val="none"/>
        </w:rPr>
        <w:t>采用施耐德品牌</w:t>
      </w:r>
      <w:r>
        <w:rPr>
          <w:rFonts w:hint="eastAsia" w:ascii="仿宋_GB2312" w:hAnsi="仿宋_GB2312" w:eastAsia="仿宋_GB2312" w:cs="仿宋_GB2312"/>
          <w:sz w:val="32"/>
          <w:szCs w:val="32"/>
          <w:highlight w:val="none"/>
          <w:lang w:eastAsia="zh-CN"/>
        </w:rPr>
        <w:t>、德力西、正泰等同等品牌</w:t>
      </w:r>
      <w:r>
        <w:rPr>
          <w:rFonts w:hint="eastAsia" w:ascii="仿宋_GB2312" w:hAnsi="仿宋_GB2312" w:eastAsia="仿宋_GB2312" w:cs="仿宋_GB2312"/>
          <w:sz w:val="32"/>
          <w:szCs w:val="32"/>
          <w:highlight w:val="none"/>
        </w:rPr>
        <w:t>。通过接收空水冷自启</w:t>
      </w:r>
      <w:r>
        <w:rPr>
          <w:rFonts w:hint="eastAsia" w:ascii="仿宋_GB2312" w:hAnsi="仿宋_GB2312" w:eastAsia="仿宋_GB2312" w:cs="仿宋_GB2312"/>
          <w:sz w:val="32"/>
          <w:szCs w:val="32"/>
          <w:highlight w:val="none"/>
          <w:lang w:eastAsia="zh-CN"/>
        </w:rPr>
        <w:t>通、断</w:t>
      </w:r>
      <w:r>
        <w:rPr>
          <w:rFonts w:hint="eastAsia" w:ascii="仿宋_GB2312" w:hAnsi="仿宋_GB2312" w:eastAsia="仿宋_GB2312" w:cs="仿宋_GB2312"/>
          <w:sz w:val="32"/>
          <w:szCs w:val="32"/>
          <w:highlight w:val="none"/>
        </w:rPr>
        <w:t>信号（电气干接点、变频器运行和停止状态、由变频器控制柜/DCS提供）与变频器联动，跟随变频器的运行而运行，跟随变频器的停运而停运。</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控制箱的箱体必须预留接地（PE）端子；装有电器元件的可开启门，门和框架的接地端子间用裸编织铜线连接，且有标识。</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控制箱内的每个端子排和端子都有清晰的标志，并与接线图纸相符；端子排布置在易于安装接线的地方。</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控制箱内留有10%的空端子排。</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控制箱合理配置电缆布线空间，确保所有电缆接线完成后柜内仍留有15%的富余空间。</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（10）电控箱为一体式PLC柜，采用一台电控箱控制本项目中的4台设备，即空水冷设备3台，小型闭式逆流冷却塔1台，触摸屏操作，预留与DCS系统接口，并负责与招标人DCS操作系统连接好正常运行。</w:t>
      </w:r>
    </w:p>
    <w:p>
      <w:pPr>
        <w:pStyle w:val="2"/>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4.7</w:t>
      </w:r>
      <w:r>
        <w:rPr>
          <w:rFonts w:hint="eastAsia" w:ascii="宋体" w:hAnsi="宋体" w:eastAsia="宋体" w:cs="宋体"/>
          <w:sz w:val="32"/>
          <w:szCs w:val="32"/>
        </w:rPr>
        <w:t>其他要求</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设备需要预留方便更换备件，设备维修的作业空间;</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人员进行现场作业时，遵守招标人有关安全生产的法律法规和安装现场的规定办理相关的手续，如果发生意外事故，由</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自行承担责任;</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设备应满足人体工程力学要求，减少作业人员疲劳强度;</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消耗品 更换周期要等同于同行业水平;</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安全防护要求</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设备安全防护要求</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1)要求配备设备开关、紧急停止等安全裝置</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2)设备开关按钮灵敏、可靠;</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3)紧急停止按钮灵敏、可靠、醒目;</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4)脚踏开关应有完备的防护并且防滑;</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5)防护罩、盖、栏应安全可靠；</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使用压力超过0.1MPa的油、水、煤气、蒸汽、空气和其他气体的设备和管道系统，应安装压力表、安全阀等安全装置，水、气、油管路紧固可靠，无泄漏现象;空气过滤杯、油杯、调节阀、选型合适(防止过压爆裂)，外形完整可靠;</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rPr>
        <w:t>)设备附带资料书中如无对控制面板操作按钮作明显注释,那实体按钮下方需刻有标识;例如:急停按钮下方应刻上“急停”字样。</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供、配电防护要求</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1)设备电源线正确安装且绝缘良好，不得有破损裸露地方。</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2)设备运行负荷与电源线选择相匹配。</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3)电柜导线应套 上具备标识的线号管(信号线尤为重要)。</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4)电源线与设备之间的防止拉脱紧固装置应保持完好。</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5)接线端子与拧紧螺丝应紧固无松动，导线剥线口处无裸露金属丝等毛刺。</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6)导线、继电器、电容电阻等电控元件与夹爪、气缸、电磁阀等机械元件不能混在同一箱体安装，且电控元件的运行环境应保持干燥度、通风。</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其他防护要求</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整体外型工艺标准设备所有开孔形状方圆标准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支架牢固可靠。</w:t>
      </w:r>
    </w:p>
    <w:p>
      <w:pPr>
        <w:pStyle w:val="2"/>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工程范围</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电气工程范围:</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负责将招标人指定的380/220V的低压电源线接入成套设备配电箱接线端子上，配电箱后端电气安装也由</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负责。</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所有设备、安装、材料、设计均在</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供货范围，即使本招标书未作详细描述，但是影响装置正常运行和性能指标所必需的设备均在本招标书工作范围内，包含但不限于以下内容，具体如下所述:</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⑴ 站内的各单机设备和辅助设备及其管道、阀门和相应的底座、支架、地脚螺栓、螺母、垫片、进出口配对法兰等。</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⑵ 供货设备之间的管道、阀门及相应的附件。</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⑶ 装置配套的仪表控制系统和电气控制系统。</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⑷ 整套设备的工程设计及安装。</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⑸ 站内范围内所有阀门及各种仪器仪表的报检。</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⑹ 整套装置的调试、安装、指导开车、培训并完成全装置验收至合格。</w:t>
      </w:r>
      <w:bookmarkStart w:id="1" w:name="_Toc126137293"/>
    </w:p>
    <w:bookmarkEnd w:id="1"/>
    <w:p>
      <w:pPr>
        <w:pStyle w:val="3"/>
        <w:keepNext/>
        <w:keepLines/>
        <w:pageBreakBefore w:val="0"/>
        <w:widowControl w:val="0"/>
        <w:kinsoku/>
        <w:wordWrap/>
        <w:overflowPunct/>
        <w:topLinePunct w:val="0"/>
        <w:autoSpaceDE/>
        <w:autoSpaceDN/>
        <w:bidi w:val="0"/>
        <w:adjustRightInd/>
        <w:snapToGrid/>
        <w:spacing w:line="15" w:lineRule="auto"/>
        <w:ind w:firstLine="643" w:firstLineChars="200"/>
        <w:textAlignment w:val="auto"/>
        <w:outlineLvl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5.3工程承包范围</w:t>
      </w:r>
    </w:p>
    <w:p>
      <w:pPr>
        <w:pStyle w:val="2"/>
        <w:snapToGrid/>
        <w:spacing w:before="0" w:beforeAutospacing="0" w:after="0" w:afterAutospacing="0" w:line="360" w:lineRule="auto"/>
        <w:ind w:left="0" w:leftChars="0" w:firstLine="640" w:firstLineChars="200"/>
        <w:jc w:val="left"/>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费用包含</w:t>
      </w:r>
      <w:r>
        <w:rPr>
          <w:rFonts w:hint="eastAsia" w:ascii="仿宋_GB2312" w:hAnsi="宋体" w:eastAsia="仿宋_GB2312" w:cs="Times New Roman"/>
          <w:sz w:val="32"/>
          <w:szCs w:val="32"/>
          <w:lang w:val="en-US" w:eastAsia="zh-CN"/>
        </w:rPr>
        <w:t>上述</w:t>
      </w:r>
      <w:r>
        <w:rPr>
          <w:rFonts w:hint="eastAsia" w:ascii="仿宋_GB2312" w:hAnsi="宋体" w:eastAsia="仿宋_GB2312" w:cs="Times New Roman"/>
          <w:kern w:val="2"/>
          <w:sz w:val="32"/>
          <w:szCs w:val="32"/>
          <w:lang w:val="en-US" w:eastAsia="zh-CN" w:bidi="ar-SA"/>
        </w:rPr>
        <w:t>供货范围</w:t>
      </w:r>
      <w:r>
        <w:rPr>
          <w:rFonts w:hint="eastAsia" w:ascii="仿宋_GB2312" w:hAnsi="宋体" w:eastAsia="仿宋_GB2312" w:cs="Times New Roman"/>
          <w:smallCaps w:val="0"/>
          <w:kern w:val="2"/>
          <w:sz w:val="32"/>
          <w:szCs w:val="32"/>
          <w:lang w:val="en-US" w:eastAsia="zh-CN" w:bidi="ar-SA"/>
        </w:rPr>
        <w:t>的所有内容、</w:t>
      </w:r>
      <w:r>
        <w:rPr>
          <w:rFonts w:hint="eastAsia" w:ascii="仿宋_GB2312" w:hAnsi="宋体" w:eastAsia="仿宋_GB2312" w:cs="Times New Roman"/>
          <w:kern w:val="2"/>
          <w:sz w:val="32"/>
          <w:szCs w:val="32"/>
          <w:lang w:val="en-US" w:eastAsia="zh-CN" w:bidi="ar-SA"/>
        </w:rPr>
        <w:t>机械、安全施工、</w:t>
      </w:r>
      <w:r>
        <w:rPr>
          <w:rFonts w:hint="eastAsia" w:ascii="仿宋_GB2312" w:hAnsi="宋体" w:eastAsia="仿宋_GB2312" w:cs="Times New Roman"/>
          <w:sz w:val="32"/>
          <w:szCs w:val="32"/>
          <w:lang w:val="en-US"/>
        </w:rPr>
        <w:t>运输、装卸、负责安装、负责调试、培训</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kern w:val="2"/>
          <w:sz w:val="32"/>
          <w:szCs w:val="32"/>
          <w:lang w:val="en-US" w:eastAsia="zh-CN" w:bidi="ar-SA"/>
        </w:rPr>
        <w:t>税费、保险、验收、检测、保修等一切费用，为交钥匙工程。</w:t>
      </w:r>
    </w:p>
    <w:p>
      <w:pPr>
        <w:pStyle w:val="2"/>
        <w:snapToGrid/>
        <w:spacing w:before="0" w:beforeAutospacing="0" w:after="0" w:afterAutospacing="0" w:line="360" w:lineRule="auto"/>
        <w:ind w:left="0" w:leftChars="0" w:firstLine="640" w:firstLineChars="200"/>
        <w:jc w:val="left"/>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5.4付款方式</w:t>
      </w:r>
    </w:p>
    <w:p>
      <w:pPr>
        <w:pStyle w:val="3"/>
        <w:spacing w:before="163" w:after="163" w:line="360" w:lineRule="auto"/>
        <w:ind w:firstLine="640" w:firstLineChars="200"/>
        <w:rPr>
          <w:rFonts w:hint="eastAsia" w:ascii="仿宋_GB2312" w:hAnsi="宋体" w:eastAsia="仿宋_GB2312" w:cs="Times New Roman"/>
          <w:b w:val="0"/>
          <w:bCs w:val="0"/>
          <w:kern w:val="2"/>
          <w:sz w:val="32"/>
          <w:szCs w:val="32"/>
          <w:lang w:val="en-US" w:eastAsia="zh-CN" w:bidi="ar-SA"/>
        </w:rPr>
      </w:pPr>
      <w:r>
        <w:rPr>
          <w:rFonts w:hint="eastAsia" w:ascii="仿宋_GB2312" w:hAnsi="宋体" w:eastAsia="仿宋_GB2312" w:cs="Times New Roman"/>
          <w:b w:val="0"/>
          <w:bCs w:val="0"/>
          <w:kern w:val="2"/>
          <w:sz w:val="32"/>
          <w:szCs w:val="32"/>
          <w:lang w:val="en-US" w:eastAsia="zh-CN" w:bidi="ar-SA"/>
        </w:rPr>
        <w:t>付款方式：银行承兑汇票</w:t>
      </w:r>
    </w:p>
    <w:p>
      <w:pPr>
        <w:pStyle w:val="3"/>
        <w:spacing w:before="163" w:after="163" w:line="360" w:lineRule="auto"/>
        <w:ind w:firstLine="640" w:firstLineChars="200"/>
        <w:rPr>
          <w:rFonts w:hint="eastAsia" w:ascii="仿宋_GB2312" w:hAnsi="宋体" w:eastAsia="仿宋_GB2312" w:cs="Times New Roman"/>
          <w:b w:val="0"/>
          <w:bCs w:val="0"/>
          <w:kern w:val="2"/>
          <w:sz w:val="32"/>
          <w:szCs w:val="32"/>
          <w:lang w:val="en-US" w:eastAsia="zh-CN" w:bidi="ar-SA"/>
        </w:rPr>
      </w:pPr>
      <w:r>
        <w:rPr>
          <w:rFonts w:hint="eastAsia" w:ascii="仿宋_GB2312" w:hAnsi="宋体" w:eastAsia="仿宋_GB2312" w:cs="Times New Roman"/>
          <w:b w:val="0"/>
          <w:bCs w:val="0"/>
          <w:kern w:val="2"/>
          <w:sz w:val="32"/>
          <w:szCs w:val="32"/>
          <w:lang w:val="en-US" w:eastAsia="zh-CN" w:bidi="ar-SA"/>
        </w:rPr>
        <w:t>1、合同签订生效后7天内，乙方提供20%银行履约保函，甲方向乙方支付合同总价的30%作为预付款（乙方提供收据）；</w:t>
      </w:r>
    </w:p>
    <w:p>
      <w:pPr>
        <w:pStyle w:val="3"/>
        <w:spacing w:before="163" w:after="163" w:line="360" w:lineRule="auto"/>
        <w:ind w:firstLine="640" w:firstLineChars="200"/>
        <w:rPr>
          <w:rFonts w:hint="eastAsia" w:ascii="仿宋_GB2312" w:hAnsi="宋体" w:eastAsia="仿宋_GB2312" w:cs="Times New Roman"/>
          <w:b w:val="0"/>
          <w:bCs w:val="0"/>
          <w:kern w:val="2"/>
          <w:sz w:val="32"/>
          <w:szCs w:val="32"/>
          <w:lang w:val="en-US" w:eastAsia="zh-CN" w:bidi="ar-SA"/>
        </w:rPr>
      </w:pPr>
      <w:r>
        <w:rPr>
          <w:rFonts w:hint="eastAsia" w:ascii="仿宋_GB2312" w:hAnsi="宋体" w:eastAsia="仿宋_GB2312" w:cs="Times New Roman"/>
          <w:b w:val="0"/>
          <w:bCs w:val="0"/>
          <w:kern w:val="2"/>
          <w:sz w:val="32"/>
          <w:szCs w:val="32"/>
          <w:lang w:val="en-US" w:eastAsia="zh-CN" w:bidi="ar-SA"/>
        </w:rPr>
        <w:t>2、经甲方参与审核后发运标的无误后设备发货，货到经甲方验收合格后7天内，向乙方支付合同总价30%（乙方提供收据）；</w:t>
      </w:r>
    </w:p>
    <w:p>
      <w:pPr>
        <w:pStyle w:val="3"/>
        <w:spacing w:before="163" w:after="163" w:line="360" w:lineRule="auto"/>
        <w:ind w:firstLine="640" w:firstLineChars="200"/>
        <w:rPr>
          <w:rFonts w:hint="eastAsia" w:ascii="仿宋_GB2312" w:hAnsi="宋体" w:eastAsia="仿宋_GB2312" w:cs="Times New Roman"/>
          <w:b w:val="0"/>
          <w:bCs w:val="0"/>
          <w:kern w:val="2"/>
          <w:sz w:val="32"/>
          <w:szCs w:val="32"/>
          <w:lang w:val="en-US" w:eastAsia="zh-CN" w:bidi="ar-SA"/>
        </w:rPr>
      </w:pPr>
      <w:r>
        <w:rPr>
          <w:rFonts w:hint="eastAsia" w:ascii="仿宋_GB2312" w:hAnsi="宋体" w:eastAsia="仿宋_GB2312" w:cs="Times New Roman"/>
          <w:b w:val="0"/>
          <w:bCs w:val="0"/>
          <w:kern w:val="2"/>
          <w:sz w:val="32"/>
          <w:szCs w:val="32"/>
          <w:lang w:val="en-US" w:eastAsia="zh-CN" w:bidi="ar-SA"/>
        </w:rPr>
        <w:t>3、设备投入运行并经甲方验收合格后7天内，乙方开具全额增值税专用发票，甲方向乙方支付合同总价的30%，同时履约保函解除；</w:t>
      </w:r>
    </w:p>
    <w:p>
      <w:pPr>
        <w:pStyle w:val="3"/>
        <w:spacing w:before="163" w:after="163" w:line="360" w:lineRule="auto"/>
        <w:ind w:firstLine="640" w:firstLineChars="200"/>
        <w:rPr>
          <w:rFonts w:hint="eastAsia" w:ascii="仿宋_GB2312" w:hAnsi="宋体" w:eastAsia="仿宋_GB2312" w:cs="Times New Roman"/>
          <w:b w:val="0"/>
          <w:bCs w:val="0"/>
          <w:kern w:val="2"/>
          <w:sz w:val="32"/>
          <w:szCs w:val="32"/>
          <w:lang w:val="en-US" w:eastAsia="zh-CN" w:bidi="ar-SA"/>
        </w:rPr>
      </w:pPr>
      <w:r>
        <w:rPr>
          <w:rFonts w:hint="eastAsia" w:ascii="仿宋_GB2312" w:hAnsi="宋体" w:eastAsia="仿宋_GB2312" w:cs="Times New Roman"/>
          <w:b w:val="0"/>
          <w:bCs w:val="0"/>
          <w:kern w:val="2"/>
          <w:sz w:val="32"/>
          <w:szCs w:val="32"/>
          <w:lang w:val="en-US" w:eastAsia="zh-CN" w:bidi="ar-SA"/>
        </w:rPr>
        <w:t>4、剩余合同总价10%作为质保金，设备调试合格正常运行后12个月或货到现场18个月后无质量问题，甲方向乙方一次性无息付清，二者以先到为准。</w:t>
      </w:r>
    </w:p>
    <w:p>
      <w:pPr>
        <w:pStyle w:val="3"/>
        <w:spacing w:before="163" w:after="163" w:line="360" w:lineRule="auto"/>
        <w:ind w:firstLine="643"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5.5</w:t>
      </w:r>
      <w:bookmarkStart w:id="11" w:name="_GoBack"/>
      <w:bookmarkEnd w:id="11"/>
      <w:r>
        <w:rPr>
          <w:rFonts w:hint="eastAsia" w:ascii="宋体" w:hAnsi="宋体" w:eastAsia="宋体" w:cs="宋体"/>
          <w:sz w:val="32"/>
          <w:szCs w:val="32"/>
          <w:lang w:val="en-US" w:eastAsia="zh-CN"/>
        </w:rPr>
        <w:t>其它要求：</w:t>
      </w:r>
    </w:p>
    <w:p>
      <w:pPr>
        <w:pStyle w:val="2"/>
        <w:snapToGrid/>
        <w:spacing w:before="0" w:beforeAutospacing="0" w:after="0" w:afterAutospacing="0" w:line="36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1、建议供应商提前踏勘现场后再进行报价；</w:t>
      </w:r>
    </w:p>
    <w:p>
      <w:pPr>
        <w:pStyle w:val="2"/>
        <w:snapToGrid/>
        <w:spacing w:before="0" w:beforeAutospacing="0" w:after="0" w:afterAutospacing="0" w:line="36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2、施工过程中，要服从甲方管理，按甲方现场提出的质量要求进行整改；</w:t>
      </w:r>
    </w:p>
    <w:p>
      <w:pPr>
        <w:pStyle w:val="2"/>
        <w:snapToGrid/>
        <w:spacing w:before="0" w:beforeAutospacing="0" w:after="0" w:afterAutospacing="0" w:line="36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3、开工前需提供详细的施工方案；</w:t>
      </w:r>
    </w:p>
    <w:p>
      <w:pPr>
        <w:pStyle w:val="2"/>
        <w:snapToGrid/>
        <w:spacing w:before="0" w:beforeAutospacing="0" w:after="0" w:afterAutospacing="0" w:line="360" w:lineRule="auto"/>
        <w:ind w:firstLine="640" w:firstLineChars="200"/>
        <w:jc w:val="both"/>
        <w:textAlignment w:val="baseline"/>
        <w:rPr>
          <w:rFonts w:hint="eastAsia" w:ascii="仿宋_GB2312" w:hAnsi="宋体" w:eastAsia="仿宋_GB2312" w:cs="Times New Roman"/>
          <w:spacing w:val="0"/>
          <w:sz w:val="32"/>
          <w:szCs w:val="32"/>
          <w:lang w:eastAsia="zh-CN"/>
        </w:rPr>
      </w:pPr>
      <w:r>
        <w:rPr>
          <w:rFonts w:hint="eastAsia" w:ascii="仿宋_GB2312" w:hAnsi="宋体" w:eastAsia="仿宋_GB2312" w:cs="Times New Roman"/>
          <w:spacing w:val="0"/>
          <w:sz w:val="32"/>
          <w:szCs w:val="32"/>
          <w:lang w:val="en-US" w:eastAsia="zh-CN"/>
        </w:rPr>
        <w:t>4、</w:t>
      </w:r>
      <w:r>
        <w:rPr>
          <w:rFonts w:hint="eastAsia" w:ascii="仿宋_GB2312" w:hAnsi="宋体" w:eastAsia="仿宋_GB2312" w:cs="Times New Roman"/>
          <w:spacing w:val="0"/>
          <w:sz w:val="32"/>
          <w:szCs w:val="32"/>
          <w:lang w:eastAsia="zh-CN"/>
        </w:rPr>
        <w:t>供应商</w:t>
      </w:r>
      <w:r>
        <w:rPr>
          <w:rFonts w:hint="eastAsia" w:ascii="仿宋_GB2312" w:hAnsi="宋体" w:eastAsia="仿宋_GB2312" w:cs="Times New Roman"/>
          <w:spacing w:val="0"/>
          <w:sz w:val="32"/>
          <w:szCs w:val="32"/>
        </w:rPr>
        <w:t>调试期间</w:t>
      </w:r>
      <w:r>
        <w:rPr>
          <w:rFonts w:hint="eastAsia" w:ascii="仿宋_GB2312" w:hAnsi="宋体" w:eastAsia="仿宋_GB2312" w:cs="Times New Roman"/>
          <w:spacing w:val="0"/>
          <w:sz w:val="32"/>
          <w:szCs w:val="32"/>
          <w:lang w:eastAsia="zh-CN"/>
        </w:rPr>
        <w:t>须</w:t>
      </w:r>
      <w:r>
        <w:rPr>
          <w:rFonts w:hint="eastAsia" w:ascii="仿宋_GB2312" w:hAnsi="宋体" w:eastAsia="仿宋_GB2312" w:cs="Times New Roman"/>
          <w:spacing w:val="0"/>
          <w:sz w:val="32"/>
          <w:szCs w:val="32"/>
        </w:rPr>
        <w:t>免费对</w:t>
      </w:r>
      <w:r>
        <w:rPr>
          <w:rFonts w:hint="eastAsia" w:ascii="仿宋_GB2312" w:hAnsi="宋体" w:eastAsia="仿宋_GB2312" w:cs="Times New Roman"/>
          <w:spacing w:val="0"/>
          <w:sz w:val="32"/>
          <w:szCs w:val="32"/>
          <w:lang w:eastAsia="zh-CN"/>
        </w:rPr>
        <w:t>采购人相关</w:t>
      </w:r>
      <w:r>
        <w:rPr>
          <w:rFonts w:hint="eastAsia" w:ascii="仿宋_GB2312" w:hAnsi="宋体" w:eastAsia="仿宋_GB2312" w:cs="Times New Roman"/>
          <w:spacing w:val="0"/>
          <w:sz w:val="32"/>
          <w:szCs w:val="32"/>
        </w:rPr>
        <w:t>人员进行培训</w:t>
      </w:r>
      <w:r>
        <w:rPr>
          <w:rFonts w:hint="eastAsia" w:ascii="仿宋_GB2312" w:hAnsi="宋体" w:eastAsia="仿宋_GB2312" w:cs="Times New Roman"/>
          <w:spacing w:val="0"/>
          <w:sz w:val="32"/>
          <w:szCs w:val="32"/>
          <w:lang w:eastAsia="zh-CN"/>
        </w:rPr>
        <w:t>，培训应合格，直至采购人相关人员具备熟练操作设备的上岗能力；</w:t>
      </w:r>
    </w:p>
    <w:p>
      <w:pPr>
        <w:wordWrap w:val="0"/>
        <w:autoSpaceDE w:val="0"/>
        <w:autoSpaceDN w:val="0"/>
        <w:spacing w:line="360" w:lineRule="auto"/>
        <w:ind w:firstLine="640" w:firstLineChars="200"/>
        <w:rPr>
          <w:rFonts w:hint="default" w:ascii="仿宋_GB2312" w:hAnsi="宋体" w:eastAsia="仿宋_GB2312" w:cs="Times New Roman"/>
          <w:b w:val="0"/>
          <w:bCs w:val="0"/>
          <w:color w:val="000000"/>
          <w:spacing w:val="0"/>
          <w:kern w:val="2"/>
          <w:sz w:val="32"/>
          <w:szCs w:val="32"/>
          <w:lang w:val="en-US" w:eastAsia="zh-CN"/>
        </w:rPr>
      </w:pPr>
      <w:r>
        <w:rPr>
          <w:rFonts w:hint="eastAsia" w:ascii="仿宋_GB2312" w:hAnsi="宋体" w:eastAsia="仿宋_GB2312" w:cs="Times New Roman"/>
          <w:b w:val="0"/>
          <w:bCs w:val="0"/>
          <w:color w:val="000000"/>
          <w:spacing w:val="0"/>
          <w:kern w:val="2"/>
          <w:sz w:val="32"/>
          <w:szCs w:val="32"/>
          <w:lang w:val="en-US" w:eastAsia="zh-CN"/>
        </w:rPr>
        <w:t>5、质保期：自设备投入运行并经验收合格之日起1年。</w:t>
      </w:r>
    </w:p>
    <w:p>
      <w:pPr>
        <w:pStyle w:val="17"/>
        <w:numPr>
          <w:ilvl w:val="0"/>
          <w:numId w:val="0"/>
        </w:numPr>
        <w:spacing w:line="36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6、供货期：签订合同后15天（日历天）内货到招标方现场；</w:t>
      </w:r>
    </w:p>
    <w:p>
      <w:pPr>
        <w:pStyle w:val="2"/>
        <w:snapToGrid/>
        <w:spacing w:before="0" w:beforeAutospacing="0" w:after="0" w:afterAutospacing="0" w:line="360" w:lineRule="auto"/>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施工工期：货到采购人施工现场后3天内施工完毕并具备送电、试运条件。</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三、</w:t>
      </w:r>
      <w:r>
        <w:rPr>
          <w:rFonts w:hint="eastAsia" w:ascii="黑体" w:hAnsi="黑体" w:eastAsia="黑体" w:cs="Times New Roman"/>
          <w:sz w:val="32"/>
          <w:szCs w:val="32"/>
          <w:lang w:eastAsia="zh-CN"/>
        </w:rPr>
        <w:t>供应商</w:t>
      </w:r>
      <w:r>
        <w:rPr>
          <w:rFonts w:hint="eastAsia" w:ascii="黑体" w:hAnsi="黑体" w:eastAsia="黑体" w:cs="Times New Roman"/>
          <w:sz w:val="32"/>
          <w:szCs w:val="32"/>
        </w:rPr>
        <w:t>资格要求</w:t>
      </w:r>
    </w:p>
    <w:p>
      <w:pPr>
        <w:spacing w:line="360" w:lineRule="auto"/>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sz w:val="32"/>
          <w:szCs w:val="32"/>
        </w:rPr>
        <w:t>（一）</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为具有独立法人资格的企业；</w:t>
      </w:r>
      <w:r>
        <w:rPr>
          <w:rFonts w:hint="eastAsia" w:ascii="仿宋_GB2312" w:hAnsi="宋体" w:eastAsia="仿宋_GB2312" w:cs="Times New Roman"/>
          <w:sz w:val="32"/>
          <w:szCs w:val="32"/>
          <w:lang w:val="zh-CN"/>
        </w:rPr>
        <w:t>具有有效的企业法人营业执照、税务登记证、组织机构代码证等资质证件；</w:t>
      </w:r>
      <w:r>
        <w:rPr>
          <w:rFonts w:hint="eastAsia" w:ascii="仿宋_GB2312" w:hAnsi="宋体" w:eastAsia="仿宋_GB2312" w:cs="Times New Roman"/>
          <w:color w:val="auto"/>
          <w:sz w:val="32"/>
          <w:szCs w:val="32"/>
        </w:rPr>
        <w:t>并且是投标产品制造商，具有生产投标产品所需的生产场地、生产设备、产品及元器件检测能力；</w:t>
      </w:r>
    </w:p>
    <w:p>
      <w:pPr>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（二）具有良好的商业信誉，投标人未被列入“信用中国”网站(www.creditchina.gov.cn)“失信被执行人”记录名单。</w:t>
      </w:r>
    </w:p>
    <w:p>
      <w:pPr>
        <w:wordWrap/>
        <w:autoSpaceDE/>
        <w:autoSpaceDN/>
        <w:spacing w:line="360" w:lineRule="auto"/>
        <w:ind w:firstLine="640" w:firstLineChars="200"/>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rPr>
        <w:t>（三）</w:t>
      </w:r>
      <w:r>
        <w:rPr>
          <w:rFonts w:hint="eastAsia" w:ascii="仿宋_GB2312" w:hAnsi="宋体" w:eastAsia="仿宋_GB2312" w:cs="Times New Roman"/>
          <w:sz w:val="32"/>
          <w:szCs w:val="32"/>
          <w:lang w:val="zh-CN"/>
        </w:rPr>
        <w:t>符合政府采购法第二十二条规定的相关条件；</w:t>
      </w:r>
    </w:p>
    <w:p>
      <w:pPr>
        <w:wordWrap/>
        <w:autoSpaceDE/>
        <w:autoSpaceDN/>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rPr>
        <w:t>）产品通过ISO</w:t>
      </w:r>
      <w:r>
        <w:rPr>
          <w:rFonts w:hint="eastAsia" w:ascii="仿宋_GB2312" w:hAnsi="宋体" w:eastAsia="仿宋_GB2312" w:cs="Times New Roman"/>
          <w:sz w:val="32"/>
          <w:szCs w:val="32"/>
          <w:lang w:eastAsia="zh-CN"/>
        </w:rPr>
        <w:t>9001</w:t>
      </w:r>
      <w:r>
        <w:rPr>
          <w:rFonts w:hint="eastAsia" w:ascii="仿宋_GB2312" w:hAnsi="宋体" w:eastAsia="仿宋_GB2312" w:cs="Times New Roman"/>
          <w:sz w:val="32"/>
          <w:szCs w:val="32"/>
        </w:rPr>
        <w:t>国际质量体系认证；</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四、招标文件的获取</w:t>
      </w:r>
    </w:p>
    <w:p>
      <w:pPr>
        <w:spacing w:line="36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凡有意参加本次项目</w:t>
      </w:r>
      <w:r>
        <w:rPr>
          <w:rFonts w:hint="eastAsia" w:ascii="仿宋_GB2312" w:hAnsi="宋体" w:eastAsia="仿宋_GB2312" w:cs="Times New Roman"/>
          <w:sz w:val="32"/>
          <w:szCs w:val="32"/>
          <w:lang w:eastAsia="zh-CN"/>
        </w:rPr>
        <w:t>招标</w:t>
      </w:r>
      <w:r>
        <w:rPr>
          <w:rFonts w:hint="eastAsia" w:ascii="仿宋_GB2312" w:hAnsi="宋体" w:eastAsia="仿宋_GB2312" w:cs="Times New Roman"/>
          <w:sz w:val="32"/>
          <w:szCs w:val="32"/>
        </w:rPr>
        <w:t>的投标单位，须在</w:t>
      </w:r>
      <w:r>
        <w:rPr>
          <w:rFonts w:hint="eastAsia" w:ascii="仿宋_GB2312" w:hAnsi="宋体" w:eastAsia="仿宋_GB2312" w:cs="Times New Roman"/>
          <w:sz w:val="32"/>
          <w:szCs w:val="32"/>
          <w:lang w:eastAsia="zh-CN"/>
        </w:rPr>
        <w:t>投标</w:t>
      </w:r>
      <w:r>
        <w:rPr>
          <w:rFonts w:hint="eastAsia" w:ascii="仿宋_GB2312" w:hAnsi="宋体" w:eastAsia="仿宋_GB2312" w:cs="Times New Roman"/>
          <w:sz w:val="32"/>
          <w:szCs w:val="32"/>
        </w:rPr>
        <w:t>截止时间前在</w:t>
      </w:r>
      <w:r>
        <w:rPr>
          <w:rFonts w:hint="eastAsia" w:ascii="仿宋_GB2312" w:hAnsi="宋体" w:eastAsia="仿宋_GB2312" w:cs="Times New Roman"/>
          <w:sz w:val="32"/>
          <w:szCs w:val="32"/>
          <w:lang w:eastAsia="zh-CN"/>
        </w:rPr>
        <w:t>隆道云</w:t>
      </w:r>
      <w:r>
        <w:rPr>
          <w:rFonts w:hint="eastAsia" w:ascii="仿宋_GB2312" w:hAnsi="宋体" w:eastAsia="仿宋_GB2312" w:cs="Times New Roman"/>
          <w:sz w:val="32"/>
          <w:szCs w:val="32"/>
        </w:rPr>
        <w:t>采购平台</w:t>
      </w:r>
      <w:r>
        <w:rPr>
          <w:rFonts w:hint="eastAsia" w:ascii="仿宋_GB2312" w:hAnsi="宋体" w:eastAsia="仿宋_GB2312" w:cs="Times New Roman"/>
          <w:sz w:val="32"/>
          <w:szCs w:val="32"/>
          <w:lang w:eastAsia="zh-CN"/>
        </w:rPr>
        <w:t>（www.longdaoyun.com）</w:t>
      </w:r>
      <w:r>
        <w:rPr>
          <w:rFonts w:hint="eastAsia" w:ascii="仿宋_GB2312" w:hAnsi="宋体" w:eastAsia="仿宋_GB2312" w:cs="Times New Roman"/>
          <w:sz w:val="32"/>
          <w:szCs w:val="32"/>
        </w:rPr>
        <w:t>进行</w:t>
      </w:r>
      <w:r>
        <w:rPr>
          <w:rFonts w:hint="eastAsia" w:ascii="仿宋_GB2312" w:hAnsi="宋体" w:eastAsia="仿宋_GB2312" w:cs="Times New Roman"/>
          <w:sz w:val="32"/>
          <w:szCs w:val="32"/>
          <w:lang w:eastAsia="zh-CN"/>
        </w:rPr>
        <w:t>线上</w:t>
      </w:r>
      <w:r>
        <w:rPr>
          <w:rFonts w:hint="eastAsia" w:ascii="仿宋_GB2312" w:hAnsi="宋体" w:eastAsia="仿宋_GB2312" w:cs="Times New Roman"/>
          <w:sz w:val="32"/>
          <w:szCs w:val="32"/>
        </w:rPr>
        <w:t>报名，</w:t>
      </w:r>
      <w:r>
        <w:rPr>
          <w:rFonts w:hint="eastAsia" w:ascii="仿宋_GB2312" w:hAnsi="宋体" w:eastAsia="仿宋_GB2312" w:cs="Times New Roman"/>
          <w:sz w:val="32"/>
          <w:szCs w:val="32"/>
          <w:lang w:eastAsia="zh-CN"/>
        </w:rPr>
        <w:t>或登录山东岱岳制盐有限公司官网（</w:t>
      </w:r>
      <w:r>
        <w:rPr>
          <w:rFonts w:hint="eastAsia" w:ascii="仿宋_GB2312" w:eastAsia="仿宋_GB2312"/>
          <w:sz w:val="30"/>
          <w:szCs w:val="30"/>
          <w:lang w:val="en-US" w:eastAsia="zh-CN"/>
        </w:rPr>
        <w:t>www.sddyzy.com）</w:t>
      </w:r>
      <w:r>
        <w:rPr>
          <w:rFonts w:hint="eastAsia" w:ascii="仿宋_GB2312" w:hAnsi="宋体" w:eastAsia="仿宋_GB2312" w:cs="Times New Roman"/>
          <w:sz w:val="32"/>
          <w:szCs w:val="32"/>
          <w:lang w:eastAsia="zh-CN"/>
        </w:rPr>
        <w:t>查看相关招标文件，</w:t>
      </w:r>
      <w:r>
        <w:rPr>
          <w:rFonts w:hint="eastAsia" w:ascii="仿宋_GB2312" w:hAnsi="宋体" w:eastAsia="仿宋_GB2312" w:cs="Times New Roman"/>
          <w:sz w:val="32"/>
          <w:szCs w:val="32"/>
        </w:rPr>
        <w:t>自行下载招标文件</w:t>
      </w:r>
      <w:r>
        <w:rPr>
          <w:rFonts w:hint="eastAsia" w:ascii="仿宋_GB2312" w:hAnsi="宋体" w:eastAsia="仿宋_GB2312" w:cs="Times New Roman"/>
          <w:sz w:val="32"/>
          <w:szCs w:val="32"/>
          <w:lang w:eastAsia="zh-CN"/>
        </w:rPr>
        <w:t>后进行线下报名，报名联系人：侯经理，联系电话：</w:t>
      </w:r>
      <w:r>
        <w:rPr>
          <w:rFonts w:hint="eastAsia" w:ascii="仿宋_GB2312" w:hAnsi="宋体" w:eastAsia="仿宋_GB2312" w:cs="Times New Roman"/>
          <w:sz w:val="32"/>
          <w:szCs w:val="32"/>
          <w:lang w:val="en-US" w:eastAsia="zh-CN"/>
        </w:rPr>
        <w:t>18953832888；技术联系人： 赵经理，13468019171。</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五、投标文件的递交</w:t>
      </w:r>
    </w:p>
    <w:p>
      <w:pPr>
        <w:spacing w:line="36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（一）投标文件递交的截止时间（投标截止时间，下同）为</w:t>
      </w:r>
      <w:r>
        <w:rPr>
          <w:rFonts w:hint="eastAsia" w:ascii="仿宋_GB2312" w:hAnsi="宋体" w:eastAsia="仿宋_GB2312" w:cs="Times New Roman"/>
          <w:color w:val="FF0000"/>
          <w:sz w:val="32"/>
          <w:szCs w:val="32"/>
        </w:rPr>
        <w:t>2</w:t>
      </w:r>
      <w:r>
        <w:rPr>
          <w:rFonts w:hint="eastAsia" w:ascii="仿宋_GB2312" w:hAnsi="宋体" w:eastAsia="仿宋_GB2312" w:cs="Times New Roman"/>
          <w:color w:val="FF0000"/>
          <w:sz w:val="32"/>
          <w:szCs w:val="32"/>
          <w:lang w:val="en-US" w:eastAsia="zh-CN"/>
        </w:rPr>
        <w:t>023年6月23日24时00分，</w:t>
      </w:r>
      <w:r>
        <w:rPr>
          <w:rFonts w:hint="eastAsia" w:ascii="仿宋_GB2312" w:hAnsi="宋体" w:eastAsia="仿宋_GB2312" w:cs="Times New Roman"/>
          <w:sz w:val="32"/>
          <w:szCs w:val="32"/>
          <w:lang w:val="en-US" w:eastAsia="zh-CN"/>
        </w:rPr>
        <w:t>投标人应在截止时间前通过以下2种方式（任选一种）上传电子投标文件并邮寄至少3份纸质版投标资料</w:t>
      </w:r>
      <w:r>
        <w:rPr>
          <w:rFonts w:hint="eastAsia" w:ascii="仿宋_GB2312" w:hAnsi="黑体" w:eastAsia="仿宋_GB2312" w:cs="Times New Roman"/>
          <w:kern w:val="44"/>
          <w:sz w:val="32"/>
          <w:szCs w:val="44"/>
          <w:u w:val="double"/>
          <w:lang w:val="en-US" w:eastAsia="zh-CN"/>
        </w:rPr>
        <w:t>（加盖公章并密封）</w:t>
      </w:r>
      <w:r>
        <w:rPr>
          <w:rFonts w:hint="eastAsia" w:ascii="仿宋_GB2312" w:hAnsi="宋体" w:eastAsia="仿宋_GB2312" w:cs="Times New Roman"/>
          <w:sz w:val="32"/>
          <w:szCs w:val="32"/>
          <w:lang w:val="en-US" w:eastAsia="zh-CN"/>
        </w:rPr>
        <w:t>至采购人：</w:t>
      </w:r>
    </w:p>
    <w:p>
      <w:pPr>
        <w:spacing w:line="36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1、线上：登录隆道云平台报价；</w:t>
      </w:r>
    </w:p>
    <w:p>
      <w:pPr>
        <w:spacing w:line="36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2、线下：</w:t>
      </w:r>
      <w:r>
        <w:rPr>
          <w:rFonts w:hint="eastAsia" w:ascii="仿宋_GB2312" w:hAnsi="宋体" w:eastAsia="仿宋_GB2312" w:cs="Times New Roman"/>
          <w:color w:val="auto"/>
          <w:sz w:val="32"/>
          <w:szCs w:val="32"/>
          <w:lang w:val="en-US" w:eastAsia="zh-CN"/>
        </w:rPr>
        <w:fldChar w:fldCharType="begin"/>
      </w:r>
      <w:r>
        <w:rPr>
          <w:rFonts w:hint="eastAsia" w:ascii="仿宋_GB2312" w:hAnsi="宋体" w:eastAsia="仿宋_GB2312" w:cs="Times New Roman"/>
          <w:color w:val="auto"/>
          <w:sz w:val="32"/>
          <w:szCs w:val="32"/>
          <w:lang w:val="en-US" w:eastAsia="zh-CN"/>
        </w:rPr>
        <w:instrText xml:space="preserve"> HYPERLINK "mailto:报专用邮箱dyzy009@163.com；" </w:instrText>
      </w:r>
      <w:r>
        <w:rPr>
          <w:rFonts w:hint="eastAsia" w:ascii="仿宋_GB2312" w:hAnsi="宋体" w:eastAsia="仿宋_GB2312" w:cs="Times New Roman"/>
          <w:color w:val="auto"/>
          <w:sz w:val="32"/>
          <w:szCs w:val="32"/>
          <w:lang w:val="en-US" w:eastAsia="zh-CN"/>
        </w:rPr>
        <w:fldChar w:fldCharType="separate"/>
      </w:r>
      <w:r>
        <w:rPr>
          <w:rStyle w:val="22"/>
          <w:rFonts w:hint="eastAsia" w:ascii="仿宋_GB2312" w:hAnsi="宋体" w:eastAsia="仿宋_GB2312" w:cs="Times New Roman"/>
          <w:color w:val="auto"/>
          <w:sz w:val="32"/>
          <w:szCs w:val="32"/>
          <w:lang w:val="en-US" w:eastAsia="zh-CN"/>
        </w:rPr>
        <w:t>报专用邮箱</w:t>
      </w:r>
      <w:r>
        <w:rPr>
          <w:rStyle w:val="22"/>
          <w:rFonts w:hint="eastAsia" w:ascii="仿宋" w:hAnsi="仿宋" w:eastAsia="仿宋"/>
          <w:color w:val="auto"/>
          <w:sz w:val="30"/>
          <w:szCs w:val="30"/>
          <w:lang w:val="en-US" w:eastAsia="zh-CN"/>
        </w:rPr>
        <w:t>dyqgb002</w:t>
      </w:r>
      <w:r>
        <w:rPr>
          <w:rStyle w:val="22"/>
          <w:rFonts w:hint="eastAsia" w:ascii="仿宋" w:hAnsi="仿宋" w:eastAsia="仿宋"/>
          <w:color w:val="auto"/>
          <w:sz w:val="30"/>
          <w:szCs w:val="30"/>
          <w:lang w:eastAsia="zh-CN"/>
        </w:rPr>
        <w:t>@163.com</w:t>
      </w:r>
      <w:r>
        <w:rPr>
          <w:rStyle w:val="22"/>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lang w:val="en-US" w:eastAsia="zh-CN"/>
        </w:rPr>
        <w:fldChar w:fldCharType="end"/>
      </w:r>
    </w:p>
    <w:p>
      <w:pPr>
        <w:pStyle w:val="2"/>
        <w:spacing w:line="360" w:lineRule="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3、邮寄地址及收件人：</w:t>
      </w:r>
    </w:p>
    <w:p>
      <w:pPr>
        <w:pStyle w:val="2"/>
        <w:spacing w:line="360" w:lineRule="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邮寄地址：山东省泰安市岱岳区大汶口石膏工业园区山东岱岳制盐有限公司新厂，生产管理部；</w:t>
      </w:r>
    </w:p>
    <w:p>
      <w:pPr>
        <w:pStyle w:val="2"/>
        <w:spacing w:line="360" w:lineRule="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收件人：侯经理，18953832888。</w:t>
      </w:r>
    </w:p>
    <w:p>
      <w:pPr>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（二）逾期送达的投标文件，将予以拒收。</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六、开标时间及地点</w:t>
      </w:r>
    </w:p>
    <w:p>
      <w:pPr>
        <w:spacing w:line="360" w:lineRule="auto"/>
        <w:ind w:firstLine="640" w:firstLineChars="200"/>
        <w:rPr>
          <w:rFonts w:hint="default" w:ascii="仿宋_GB2312" w:hAnsi="宋体" w:eastAsia="仿宋_GB2312" w:cs="Times New Roman"/>
          <w:color w:val="FF0000"/>
          <w:sz w:val="32"/>
          <w:szCs w:val="32"/>
          <w:highlight w:val="none"/>
          <w:lang w:val="en-US" w:eastAsia="zh-CN"/>
        </w:rPr>
      </w:pPr>
      <w:r>
        <w:rPr>
          <w:rFonts w:hint="eastAsia" w:ascii="仿宋_GB2312" w:hAnsi="宋体" w:eastAsia="仿宋_GB2312" w:cs="Times New Roman"/>
          <w:sz w:val="32"/>
          <w:szCs w:val="32"/>
          <w:lang w:val="en-US" w:eastAsia="zh-CN"/>
        </w:rPr>
        <w:t>开标时间：</w:t>
      </w:r>
      <w:r>
        <w:rPr>
          <w:rFonts w:hint="eastAsia" w:ascii="仿宋_GB2312" w:hAnsi="宋体" w:eastAsia="仿宋_GB2312" w:cs="Times New Roman"/>
          <w:color w:val="FF0000"/>
          <w:sz w:val="32"/>
          <w:szCs w:val="32"/>
          <w:highlight w:val="none"/>
          <w:lang w:val="en-US" w:eastAsia="zh-CN"/>
        </w:rPr>
        <w:t>2023年6月24上午9:00</w:t>
      </w:r>
    </w:p>
    <w:p>
      <w:pPr>
        <w:spacing w:line="360" w:lineRule="auto"/>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开标地点：技术中心2楼会议室</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七、 联系方式</w:t>
      </w:r>
    </w:p>
    <w:p>
      <w:pPr>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招标单位：山东</w:t>
      </w:r>
      <w:r>
        <w:rPr>
          <w:rFonts w:hint="eastAsia" w:ascii="仿宋_GB2312" w:hAnsi="宋体" w:eastAsia="仿宋_GB2312" w:cs="Times New Roman"/>
          <w:sz w:val="32"/>
          <w:szCs w:val="32"/>
          <w:lang w:eastAsia="zh-CN"/>
        </w:rPr>
        <w:t>东岳盐业</w:t>
      </w:r>
      <w:r>
        <w:rPr>
          <w:rFonts w:hint="eastAsia" w:ascii="仿宋_GB2312" w:hAnsi="宋体" w:eastAsia="仿宋_GB2312" w:cs="Times New Roman"/>
          <w:sz w:val="32"/>
          <w:szCs w:val="32"/>
        </w:rPr>
        <w:t>有限公司</w:t>
      </w:r>
    </w:p>
    <w:p>
      <w:pPr>
        <w:widowControl/>
        <w:spacing w:line="360" w:lineRule="auto"/>
        <w:ind w:firstLine="640" w:firstLineChars="200"/>
        <w:jc w:val="left"/>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地    址：</w:t>
      </w:r>
      <w:r>
        <w:rPr>
          <w:rFonts w:hint="eastAsia" w:ascii="仿宋_GB2312" w:eastAsia="仿宋_GB2312"/>
          <w:sz w:val="30"/>
          <w:szCs w:val="30"/>
        </w:rPr>
        <w:t>泰安市</w:t>
      </w:r>
      <w:r>
        <w:rPr>
          <w:rFonts w:hint="eastAsia" w:ascii="仿宋_GB2312" w:eastAsia="仿宋_GB2312"/>
          <w:sz w:val="30"/>
          <w:szCs w:val="30"/>
          <w:lang w:eastAsia="zh-CN"/>
        </w:rPr>
        <w:t>岱岳区马庄镇李家大坡村</w:t>
      </w:r>
    </w:p>
    <w:p>
      <w:pPr>
        <w:spacing w:line="360" w:lineRule="auto"/>
        <w:ind w:firstLine="600" w:firstLineChars="200"/>
        <w:rPr>
          <w:rFonts w:hint="eastAsia" w:ascii="仿宋_GB2312" w:eastAsia="仿宋_GB2312"/>
          <w:sz w:val="30"/>
          <w:szCs w:val="30"/>
          <w:lang w:eastAsia="zh-CN"/>
        </w:rPr>
      </w:pPr>
      <w:r>
        <w:rPr>
          <w:rFonts w:hint="eastAsia" w:ascii="仿宋_GB2312" w:eastAsia="仿宋_GB2312"/>
          <w:sz w:val="30"/>
          <w:szCs w:val="30"/>
        </w:rPr>
        <w:t>联</w:t>
      </w:r>
      <w:r>
        <w:rPr>
          <w:rFonts w:ascii="仿宋_GB2312" w:eastAsia="仿宋_GB2312"/>
          <w:sz w:val="30"/>
          <w:szCs w:val="30"/>
        </w:rPr>
        <w:t xml:space="preserve"> </w:t>
      </w:r>
      <w:r>
        <w:rPr>
          <w:rFonts w:hint="eastAsia" w:ascii="仿宋_GB2312" w:eastAsia="仿宋_GB2312"/>
          <w:sz w:val="30"/>
          <w:szCs w:val="30"/>
        </w:rPr>
        <w:t>系</w:t>
      </w:r>
      <w:r>
        <w:rPr>
          <w:rFonts w:ascii="仿宋_GB2312" w:eastAsia="仿宋_GB2312"/>
          <w:sz w:val="30"/>
          <w:szCs w:val="30"/>
        </w:rPr>
        <w:t xml:space="preserve"> </w:t>
      </w:r>
      <w:r>
        <w:rPr>
          <w:rFonts w:hint="eastAsia" w:ascii="仿宋_GB2312" w:eastAsia="仿宋_GB2312"/>
          <w:sz w:val="30"/>
          <w:szCs w:val="30"/>
        </w:rPr>
        <w:t>人：</w:t>
      </w:r>
      <w:r>
        <w:rPr>
          <w:rFonts w:hint="eastAsia" w:ascii="仿宋_GB2312" w:eastAsia="仿宋_GB2312"/>
          <w:sz w:val="30"/>
          <w:szCs w:val="30"/>
          <w:lang w:val="en-US" w:eastAsia="zh-CN"/>
        </w:rPr>
        <w:t xml:space="preserve">赵新            </w:t>
      </w:r>
      <w:r>
        <w:rPr>
          <w:rFonts w:hint="eastAsia" w:ascii="仿宋_GB2312" w:eastAsia="仿宋_GB2312"/>
          <w:sz w:val="30"/>
          <w:szCs w:val="30"/>
          <w:lang w:eastAsia="zh-CN"/>
        </w:rPr>
        <w:t>张毅</w:t>
      </w:r>
    </w:p>
    <w:p>
      <w:p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rPr>
        <w:t>移动电话：</w:t>
      </w:r>
      <w:r>
        <w:rPr>
          <w:rFonts w:hint="eastAsia" w:ascii="仿宋_GB2312" w:eastAsia="仿宋_GB2312"/>
          <w:sz w:val="30"/>
          <w:szCs w:val="30"/>
          <w:lang w:val="en-US" w:eastAsia="zh-CN"/>
        </w:rPr>
        <w:t>15621530171  13705382602</w:t>
      </w:r>
    </w:p>
    <w:p>
      <w:pPr>
        <w:spacing w:line="360" w:lineRule="auto"/>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纪检部门联系人：</w:t>
      </w:r>
      <w:r>
        <w:rPr>
          <w:rFonts w:hint="eastAsia" w:ascii="仿宋_GB2312" w:hAnsi="宋体" w:eastAsia="仿宋_GB2312" w:cs="Times New Roman"/>
          <w:sz w:val="32"/>
          <w:szCs w:val="32"/>
          <w:lang w:eastAsia="zh-CN"/>
        </w:rPr>
        <w:t>张宗文</w:t>
      </w:r>
    </w:p>
    <w:p>
      <w:pPr>
        <w:spacing w:line="360" w:lineRule="auto"/>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联系电话：053</w:t>
      </w:r>
      <w:r>
        <w:rPr>
          <w:rFonts w:hint="eastAsia" w:ascii="仿宋_GB2312" w:hAnsi="宋体" w:eastAsia="仿宋_GB2312" w:cs="Times New Roman"/>
          <w:sz w:val="32"/>
          <w:szCs w:val="32"/>
          <w:lang w:val="en-US" w:eastAsia="zh-CN"/>
        </w:rPr>
        <w:t>8</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8160666</w:t>
      </w:r>
    </w:p>
    <w:p>
      <w:pPr>
        <w:spacing w:line="360" w:lineRule="auto"/>
        <w:jc w:val="center"/>
        <w:rPr>
          <w:rFonts w:hint="eastAsia" w:ascii="方正小标宋简体" w:hAnsi="黑体" w:eastAsia="方正小标宋简体" w:cs="Times New Roman"/>
          <w:kern w:val="44"/>
          <w:sz w:val="44"/>
          <w:szCs w:val="44"/>
        </w:rPr>
      </w:pPr>
    </w:p>
    <w:p>
      <w:pPr>
        <w:spacing w:line="360" w:lineRule="auto"/>
        <w:jc w:val="center"/>
        <w:rPr>
          <w:rFonts w:ascii="方正小标宋简体" w:hAnsi="黑体" w:eastAsia="方正小标宋简体" w:cs="Times New Roman"/>
          <w:kern w:val="44"/>
          <w:sz w:val="44"/>
          <w:szCs w:val="44"/>
        </w:rPr>
      </w:pPr>
      <w:r>
        <w:rPr>
          <w:rFonts w:hint="eastAsia" w:ascii="方正小标宋简体" w:hAnsi="黑体" w:eastAsia="方正小标宋简体" w:cs="Times New Roman"/>
          <w:kern w:val="44"/>
          <w:sz w:val="44"/>
          <w:szCs w:val="44"/>
        </w:rPr>
        <w:t>第二章 投标人须知</w:t>
      </w:r>
    </w:p>
    <w:p>
      <w:pPr>
        <w:spacing w:line="360" w:lineRule="auto"/>
        <w:jc w:val="center"/>
        <w:rPr>
          <w:rFonts w:ascii="方正小标宋简体" w:hAnsi="黑体" w:eastAsia="方正小标宋简体" w:cs="Times New Roman"/>
          <w:kern w:val="44"/>
          <w:sz w:val="44"/>
          <w:szCs w:val="44"/>
        </w:rPr>
      </w:pPr>
    </w:p>
    <w:p>
      <w:pPr>
        <w:spacing w:line="360" w:lineRule="auto"/>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一、要求说明</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（一）本招标文件仅适用于本次招标公告中所叙述的项目。</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（三）供应商必须未列入失信被执行人名单，如供应商列入失信被执行人名单，将按无效投标处理。</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或采购代理机构均有权随时视情形决定是否取消该供应商的此前评议结果，或随时视情形决定是否对该投标予以拒绝，并有权决定采取相应的补救或纠正措施，供应商必须无条件服从。</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（五）供应商在办理与投标项目相关的所有事宜过程中，必须提供授权委托书、授权代表身份证及加盖公章的复印件，否则，有权不予受理。</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六）供应商提供的所有资料必须真实、有效。评标工作结束后，招标人有权视情况对投标单位提供资料的真实情况进行再次核查，投标单位必须无条件积极配合，如不配合，则视为存在造假行为。如投标单位存在造假行为，甲方有权追究该投标单位的经济责任，甲方有权将该投标单位列入不良行为记录名单，并按《中华人民共和国政府采购法》、《中华人民共和国招标投标法》等相关法律规定处罚。</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七）对于投标单位不配合评标委员会要求提供相关证明、澄清，或者有企图影响招标结果等行为，或者存在采购人认定的其他恶意行为，甲方有权追究该投标单位的经济责任，甲方有权将该投标单位列入不良行为记录名单。</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（八）其</w:t>
      </w:r>
      <w:r>
        <w:rPr>
          <w:rFonts w:hint="eastAsia" w:ascii="仿宋_GB2312" w:hAnsi="黑体" w:eastAsia="仿宋_GB2312" w:cs="Times New Roman"/>
          <w:kern w:val="44"/>
          <w:sz w:val="32"/>
          <w:szCs w:val="44"/>
          <w:lang w:eastAsia="zh-CN"/>
        </w:rPr>
        <w:t>它</w:t>
      </w:r>
      <w:r>
        <w:rPr>
          <w:rFonts w:hint="eastAsia" w:ascii="仿宋_GB2312" w:hAnsi="黑体" w:eastAsia="仿宋_GB2312" w:cs="Times New Roman"/>
          <w:kern w:val="44"/>
          <w:sz w:val="32"/>
          <w:szCs w:val="44"/>
        </w:rPr>
        <w:t>要求</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1、供应商应对其提供的所有货物和服务（包括货物和服务的所有内容），保证甲方免受任何第三方主张任何权利。</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2、如第三人对合同标的物（货物和服务）主张权利的侵权损害赔偿请求，甲方有权解除合同且不承担任何赔偿责任，并追究供应商的违约责任。</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3、在合同履行过程中，甲方有确切证据证明第三方可能就合同标的物（货物和服务）主张权利的，甲方有权中止支付相应的价款，并追究供应商的违约责任。</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4、因为第三方对甲方主张权利而发生的纠纷，供应商应承担相应的法律责任和诉讼费用、律师费用、其他为解除纠纷而发生的费用以及由此给甲方造成的所有经济损失。</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5、以上所指权利包括但不仅限于供应商所提供货物和服务的所有权、知识产权、债权、担保物权、用益物权等权利。</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6、质疑处理</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（1）供应商的姓名或者名称、地址、邮编、联系人及联系电话；</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（2）质疑项目的名称、编号；</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（3）具体、明确的质疑事项和与质疑事项相关的请求；</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（4）事实依据；</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（5）必要的法律依据；</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（6）提出质疑的日期。</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作出答复，并以书面形式通知质疑供应商和其他有关供应商。接受质疑函联系人、电话及地址详见招标公告。</w:t>
      </w:r>
    </w:p>
    <w:p>
      <w:pPr>
        <w:spacing w:line="360" w:lineRule="auto"/>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二、虚假材料说明</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供应商必须对其投标文件中提供各种资料、说明的真实性负责。在评标过程中，如果发现供应商有为谋取中标而提供虚假资料欺骗采购人和评委的行为，将取消其中标资格，</w:t>
      </w:r>
      <w:r>
        <w:rPr>
          <w:rFonts w:hint="eastAsia" w:ascii="仿宋_GB2312" w:hAnsi="黑体" w:eastAsia="仿宋_GB2312" w:cs="Times New Roman"/>
          <w:kern w:val="44"/>
          <w:sz w:val="32"/>
          <w:szCs w:val="44"/>
          <w:lang w:eastAsia="zh-CN"/>
        </w:rPr>
        <w:t>如有则</w:t>
      </w:r>
      <w:r>
        <w:rPr>
          <w:rFonts w:hint="eastAsia" w:ascii="仿宋_GB2312" w:hAnsi="黑体" w:eastAsia="仿宋_GB2312" w:cs="Times New Roman"/>
          <w:kern w:val="44"/>
          <w:sz w:val="32"/>
          <w:szCs w:val="44"/>
        </w:rPr>
        <w:t>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pPr>
        <w:spacing w:line="360" w:lineRule="auto"/>
        <w:ind w:firstLine="640" w:firstLineChars="200"/>
        <w:jc w:val="left"/>
        <w:rPr>
          <w:rFonts w:ascii="黑体" w:hAnsi="黑体" w:eastAsia="黑体" w:cs="Times New Roman"/>
          <w:kern w:val="44"/>
          <w:sz w:val="32"/>
          <w:szCs w:val="44"/>
        </w:rPr>
      </w:pPr>
      <w:r>
        <w:rPr>
          <w:rFonts w:hint="eastAsia" w:ascii="黑体" w:hAnsi="黑体" w:eastAsia="黑体" w:cs="Times New Roman"/>
          <w:kern w:val="44"/>
          <w:sz w:val="32"/>
          <w:szCs w:val="44"/>
        </w:rPr>
        <w:t>三、定义</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（一）“采购人”系指：山东</w:t>
      </w:r>
      <w:r>
        <w:rPr>
          <w:rFonts w:hint="eastAsia" w:ascii="仿宋_GB2312" w:hAnsi="黑体" w:eastAsia="仿宋_GB2312" w:cs="Times New Roman"/>
          <w:kern w:val="44"/>
          <w:sz w:val="32"/>
          <w:szCs w:val="44"/>
          <w:lang w:eastAsia="zh-CN"/>
        </w:rPr>
        <w:t>东岳盐业</w:t>
      </w:r>
      <w:r>
        <w:rPr>
          <w:rFonts w:hint="eastAsia" w:ascii="仿宋_GB2312" w:hAnsi="黑体" w:eastAsia="仿宋_GB2312" w:cs="Times New Roman"/>
          <w:kern w:val="44"/>
          <w:sz w:val="32"/>
          <w:szCs w:val="44"/>
        </w:rPr>
        <w:t>有限公司。</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（二）“供应商”系指：向采购人获取招标文件并提交投标文件的企业。</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（三）“中标人”系指：由评标委员会对供应商综合评审后，评选出的对招标文件做出实质性响应、综合竞争实力最优、报价合理、有能力为采购人提供货物和服务，遵守投标文件的承诺，赢得供货</w:t>
      </w:r>
      <w:r>
        <w:rPr>
          <w:rFonts w:hint="eastAsia" w:ascii="仿宋_GB2312" w:hAnsi="黑体" w:eastAsia="仿宋_GB2312" w:cs="Times New Roman"/>
          <w:kern w:val="44"/>
          <w:sz w:val="32"/>
          <w:szCs w:val="44"/>
          <w:lang w:eastAsia="zh-CN"/>
        </w:rPr>
        <w:t>（服务）</w:t>
      </w:r>
      <w:r>
        <w:rPr>
          <w:rFonts w:hint="eastAsia" w:ascii="仿宋_GB2312" w:hAnsi="黑体" w:eastAsia="仿宋_GB2312" w:cs="Times New Roman"/>
          <w:kern w:val="44"/>
          <w:sz w:val="32"/>
          <w:szCs w:val="44"/>
        </w:rPr>
        <w:t>合同的供应商。</w:t>
      </w:r>
    </w:p>
    <w:p>
      <w:pPr>
        <w:spacing w:line="360" w:lineRule="auto"/>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四、招标文件说明</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（一）招标文件的组成</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1、招标公告</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2、投标人须知</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3、评标办法</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（二）招标文件的修改</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采购人对招标文件必须修改的内容，须在招标文件要求提交投标文件截止时间2日前，招标文件的澄清或变更将</w:t>
      </w:r>
      <w:r>
        <w:rPr>
          <w:rFonts w:hint="eastAsia" w:ascii="仿宋_GB2312" w:hAnsi="黑体" w:eastAsia="仿宋_GB2312" w:cs="Times New Roman"/>
          <w:kern w:val="44"/>
          <w:sz w:val="32"/>
          <w:szCs w:val="44"/>
          <w:lang w:eastAsia="zh-CN"/>
        </w:rPr>
        <w:t>隆道云</w:t>
      </w:r>
      <w:r>
        <w:rPr>
          <w:rFonts w:hint="eastAsia" w:ascii="仿宋_GB2312" w:hAnsi="黑体" w:eastAsia="仿宋_GB2312" w:cs="Times New Roman"/>
          <w:kern w:val="44"/>
          <w:sz w:val="32"/>
          <w:szCs w:val="44"/>
        </w:rPr>
        <w:t>招标采购平台发布，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pPr>
        <w:spacing w:line="360" w:lineRule="auto"/>
        <w:ind w:firstLine="640" w:firstLineChars="200"/>
        <w:rPr>
          <w:rFonts w:ascii="黑体" w:hAnsi="黑体" w:eastAsia="黑体" w:cs="Times New Roman"/>
          <w:kern w:val="44"/>
          <w:sz w:val="32"/>
          <w:szCs w:val="44"/>
          <w:u w:val="none"/>
        </w:rPr>
      </w:pPr>
      <w:r>
        <w:rPr>
          <w:rFonts w:hint="eastAsia" w:ascii="黑体" w:hAnsi="黑体" w:eastAsia="黑体" w:cs="Times New Roman"/>
          <w:kern w:val="44"/>
          <w:sz w:val="32"/>
          <w:szCs w:val="44"/>
          <w:u w:val="none"/>
        </w:rPr>
        <w:t>五、投标文件的编写</w:t>
      </w:r>
    </w:p>
    <w:p>
      <w:pPr>
        <w:spacing w:line="360" w:lineRule="auto"/>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供应商应仔细阅读招标文件的所有内容，按招标文件的要求提供投标文件，并保证所提供的全部资料的真实性、准确性及完整性，以使其投标对招标文件做出实质性响应。否则，其投标有可能被拒绝。</w:t>
      </w:r>
    </w:p>
    <w:p>
      <w:pPr>
        <w:spacing w:line="360" w:lineRule="auto"/>
        <w:ind w:firstLine="640" w:firstLineChars="200"/>
        <w:rPr>
          <w:rFonts w:hint="eastAsia" w:ascii="仿宋_GB2312" w:hAnsi="黑体" w:eastAsia="仿宋_GB2312" w:cs="Times New Roman"/>
          <w:kern w:val="44"/>
          <w:sz w:val="32"/>
          <w:szCs w:val="44"/>
          <w:u w:val="none"/>
          <w:lang w:val="zh-CN" w:eastAsia="zh-CN"/>
        </w:rPr>
      </w:pPr>
      <w:bookmarkStart w:id="2" w:name="_Toc5285"/>
      <w:r>
        <w:rPr>
          <w:rFonts w:hint="eastAsia" w:ascii="仿宋_GB2312" w:hAnsi="黑体" w:eastAsia="仿宋_GB2312" w:cs="Times New Roman"/>
          <w:kern w:val="44"/>
          <w:sz w:val="32"/>
          <w:szCs w:val="44"/>
          <w:u w:val="none"/>
          <w:lang w:val="en-US" w:eastAsia="zh-CN"/>
        </w:rPr>
        <w:t>（一）</w:t>
      </w:r>
      <w:r>
        <w:rPr>
          <w:rFonts w:hint="eastAsia" w:ascii="仿宋_GB2312" w:hAnsi="黑体" w:eastAsia="仿宋_GB2312" w:cs="Times New Roman"/>
          <w:kern w:val="44"/>
          <w:sz w:val="32"/>
          <w:szCs w:val="44"/>
          <w:u w:val="none"/>
          <w:lang w:val="zh-CN" w:eastAsia="zh-CN"/>
        </w:rPr>
        <w:t>报价文件的组成</w:t>
      </w:r>
      <w:bookmarkEnd w:id="2"/>
    </w:p>
    <w:p>
      <w:pPr>
        <w:spacing w:line="360" w:lineRule="auto"/>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1.1 报价文件包含资格证明文件、技术部分和商务部分。</w:t>
      </w:r>
    </w:p>
    <w:p>
      <w:pPr>
        <w:spacing w:line="360" w:lineRule="auto"/>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 报价文件至少应包括下列内容：</w:t>
      </w:r>
    </w:p>
    <w:p>
      <w:pPr>
        <w:spacing w:line="360" w:lineRule="auto"/>
        <w:ind w:firstLine="640" w:firstLineChars="200"/>
        <w:rPr>
          <w:rFonts w:hint="eastAsia" w:ascii="仿宋_GB2312" w:hAnsi="黑体" w:eastAsia="仿宋_GB2312" w:cs="Times New Roman"/>
          <w:kern w:val="44"/>
          <w:sz w:val="32"/>
          <w:szCs w:val="44"/>
          <w:u w:val="none"/>
          <w:lang w:val="zh-CN" w:eastAsia="zh-CN"/>
        </w:rPr>
      </w:pPr>
      <w:bookmarkStart w:id="3" w:name="_Toc27562"/>
      <w:bookmarkStart w:id="4" w:name="_Toc3112"/>
      <w:r>
        <w:rPr>
          <w:rFonts w:hint="eastAsia" w:ascii="仿宋_GB2312" w:hAnsi="黑体" w:eastAsia="仿宋_GB2312" w:cs="Times New Roman"/>
          <w:kern w:val="44"/>
          <w:sz w:val="32"/>
          <w:szCs w:val="44"/>
          <w:u w:val="none"/>
          <w:lang w:val="zh-CN" w:eastAsia="zh-CN"/>
        </w:rPr>
        <w:t>1.2.1资格证明文件</w:t>
      </w:r>
      <w:bookmarkEnd w:id="3"/>
    </w:p>
    <w:p>
      <w:pPr>
        <w:spacing w:line="360" w:lineRule="auto"/>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（1）供应商简况表；</w:t>
      </w:r>
    </w:p>
    <w:p>
      <w:pPr>
        <w:spacing w:line="360" w:lineRule="auto"/>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（2）营业执照副本复印件（加盖公章）；</w:t>
      </w:r>
    </w:p>
    <w:p>
      <w:pPr>
        <w:spacing w:line="360" w:lineRule="auto"/>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（3）</w:t>
      </w:r>
      <w:r>
        <w:rPr>
          <w:rFonts w:hint="eastAsia" w:ascii="仿宋_GB2312" w:hAnsi="黑体" w:eastAsia="仿宋_GB2312" w:cs="Times New Roman"/>
          <w:kern w:val="44"/>
          <w:sz w:val="32"/>
          <w:szCs w:val="44"/>
          <w:u w:val="none"/>
          <w:lang w:val="en-US" w:eastAsia="zh-CN"/>
        </w:rPr>
        <w:t>有效的资质证书</w:t>
      </w:r>
      <w:r>
        <w:rPr>
          <w:rFonts w:hint="eastAsia" w:ascii="仿宋_GB2312" w:hAnsi="黑体" w:eastAsia="仿宋_GB2312" w:cs="Times New Roman"/>
          <w:kern w:val="44"/>
          <w:sz w:val="32"/>
          <w:szCs w:val="44"/>
          <w:u w:val="none"/>
          <w:lang w:val="zh-CN" w:eastAsia="zh-CN"/>
        </w:rPr>
        <w:t>（复印件加盖公章）；</w:t>
      </w:r>
    </w:p>
    <w:p>
      <w:pPr>
        <w:spacing w:line="360" w:lineRule="auto"/>
        <w:ind w:firstLine="640" w:firstLineChars="200"/>
        <w:rPr>
          <w:rFonts w:hint="eastAsia"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近2年以来的类似业绩合同（时间以合同签订时间为准）；</w:t>
      </w:r>
    </w:p>
    <w:p>
      <w:pPr>
        <w:spacing w:line="360" w:lineRule="auto"/>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en-US" w:eastAsia="zh-CN"/>
        </w:rPr>
        <w:t>（5）</w:t>
      </w:r>
      <w:r>
        <w:rPr>
          <w:rFonts w:hint="eastAsia" w:ascii="仿宋_GB2312" w:hAnsi="黑体" w:eastAsia="仿宋_GB2312" w:cs="Times New Roman"/>
          <w:kern w:val="44"/>
          <w:sz w:val="32"/>
          <w:szCs w:val="44"/>
          <w:u w:val="none"/>
          <w:lang w:val="zh-CN" w:eastAsia="zh-CN"/>
        </w:rPr>
        <w:t>法人代表人授权委托书；</w:t>
      </w:r>
    </w:p>
    <w:p>
      <w:pPr>
        <w:pStyle w:val="2"/>
        <w:spacing w:line="360" w:lineRule="auto"/>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lang w:val="en-US" w:eastAsia="zh-CN"/>
        </w:rPr>
        <w:t>（6）有效的</w:t>
      </w:r>
      <w:r>
        <w:rPr>
          <w:rFonts w:hint="eastAsia" w:ascii="仿宋_GB2312" w:hAnsi="黑体" w:eastAsia="仿宋_GB2312" w:cs="Times New Roman"/>
          <w:kern w:val="44"/>
          <w:sz w:val="32"/>
          <w:szCs w:val="44"/>
          <w:u w:val="none"/>
        </w:rPr>
        <w:t>ISO</w:t>
      </w:r>
      <w:r>
        <w:rPr>
          <w:rFonts w:hint="eastAsia" w:ascii="仿宋_GB2312" w:hAnsi="黑体" w:eastAsia="仿宋_GB2312" w:cs="Times New Roman"/>
          <w:kern w:val="44"/>
          <w:sz w:val="32"/>
          <w:szCs w:val="44"/>
          <w:u w:val="none"/>
          <w:lang w:eastAsia="zh-CN"/>
        </w:rPr>
        <w:t>9001</w:t>
      </w:r>
      <w:r>
        <w:rPr>
          <w:rFonts w:hint="eastAsia" w:ascii="仿宋_GB2312" w:hAnsi="黑体" w:eastAsia="仿宋_GB2312" w:cs="Times New Roman"/>
          <w:kern w:val="44"/>
          <w:sz w:val="32"/>
          <w:szCs w:val="44"/>
          <w:u w:val="none"/>
        </w:rPr>
        <w:t>国际质量体系认证证书</w:t>
      </w:r>
      <w:r>
        <w:rPr>
          <w:rFonts w:hint="eastAsia" w:ascii="仿宋_GB2312" w:hAnsi="黑体" w:eastAsia="仿宋_GB2312" w:cs="Times New Roman"/>
          <w:kern w:val="44"/>
          <w:sz w:val="32"/>
          <w:szCs w:val="44"/>
          <w:u w:val="none"/>
          <w:lang w:eastAsia="zh-CN"/>
        </w:rPr>
        <w:t>；</w:t>
      </w:r>
    </w:p>
    <w:p>
      <w:pPr>
        <w:spacing w:line="360" w:lineRule="auto"/>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1.2.2商务部分</w:t>
      </w:r>
    </w:p>
    <w:p>
      <w:pPr>
        <w:spacing w:line="360" w:lineRule="auto"/>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（1）法定代表人或授权代理人签署的投标函；</w:t>
      </w:r>
    </w:p>
    <w:p>
      <w:pPr>
        <w:spacing w:line="360" w:lineRule="auto"/>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（2）报价单（必须加盖公章，否则报价无效）；</w:t>
      </w:r>
    </w:p>
    <w:p>
      <w:pPr>
        <w:spacing w:line="360" w:lineRule="auto"/>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）偏离表（加盖公章）：供应商应根据自身情况据实填写商务及技术偏离表，如有偏离需填写“正偏离”或“负偏离”，并填写偏离情况，如无偏离需填写“无偏离”；</w:t>
      </w:r>
    </w:p>
    <w:p>
      <w:pPr>
        <w:spacing w:line="360" w:lineRule="auto"/>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）供应商需自行组织详细的售后服务方案，</w:t>
      </w:r>
      <w:r>
        <w:rPr>
          <w:rFonts w:hint="eastAsia" w:ascii="仿宋_GB2312" w:hAnsi="黑体" w:eastAsia="仿宋_GB2312" w:cs="Times New Roman"/>
          <w:kern w:val="44"/>
          <w:sz w:val="32"/>
          <w:szCs w:val="44"/>
          <w:u w:val="none"/>
          <w:lang w:val="zh-CN"/>
        </w:rPr>
        <w:t>包括</w:t>
      </w:r>
      <w:r>
        <w:rPr>
          <w:rFonts w:hint="eastAsia" w:ascii="仿宋_GB2312" w:hAnsi="黑体" w:eastAsia="仿宋_GB2312" w:cs="Times New Roman"/>
          <w:kern w:val="44"/>
          <w:sz w:val="32"/>
          <w:szCs w:val="44"/>
          <w:u w:val="none"/>
          <w:lang w:val="zh-CN" w:eastAsia="zh-CN"/>
        </w:rPr>
        <w:t>但不限于</w:t>
      </w:r>
      <w:r>
        <w:rPr>
          <w:rFonts w:hint="eastAsia" w:ascii="仿宋_GB2312" w:hAnsi="黑体" w:eastAsia="仿宋_GB2312" w:cs="Times New Roman"/>
          <w:kern w:val="44"/>
          <w:sz w:val="32"/>
          <w:szCs w:val="44"/>
          <w:u w:val="none"/>
          <w:lang w:val="zh-CN"/>
        </w:rPr>
        <w:t>服务人员的配备、响应时间、响应程度、解决问题的能力、紧急故障处理预案等；</w:t>
      </w:r>
    </w:p>
    <w:p>
      <w:pPr>
        <w:spacing w:line="360" w:lineRule="auto"/>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5</w:t>
      </w:r>
      <w:r>
        <w:rPr>
          <w:rFonts w:hint="eastAsia" w:ascii="仿宋_GB2312" w:hAnsi="黑体" w:eastAsia="仿宋_GB2312" w:cs="Times New Roman"/>
          <w:kern w:val="44"/>
          <w:sz w:val="32"/>
          <w:szCs w:val="44"/>
          <w:u w:val="none"/>
          <w:lang w:val="zh-CN" w:eastAsia="zh-CN"/>
        </w:rPr>
        <w:t>）供应商认为有必要提供的其他资料。</w:t>
      </w:r>
    </w:p>
    <w:p>
      <w:pPr>
        <w:spacing w:line="360" w:lineRule="auto"/>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1.2.3技术部分</w:t>
      </w:r>
    </w:p>
    <w:p>
      <w:pPr>
        <w:numPr>
          <w:ilvl w:val="0"/>
          <w:numId w:val="2"/>
        </w:numPr>
        <w:spacing w:line="360" w:lineRule="auto"/>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供应商需自行组织详细的产品性能技术方案，包括但不限于本公司产品的</w:t>
      </w:r>
      <w:r>
        <w:rPr>
          <w:rFonts w:hint="eastAsia" w:ascii="仿宋_GB2312" w:hAnsi="黑体" w:eastAsia="仿宋_GB2312" w:cs="Times New Roman"/>
          <w:kern w:val="44"/>
          <w:sz w:val="32"/>
          <w:szCs w:val="44"/>
          <w:u w:val="none"/>
          <w:lang w:val="zh-CN"/>
        </w:rPr>
        <w:t>市场占有率、品牌信誉度，产品的性能、质量、技术成熟度，产品的备品备件情况等；</w:t>
      </w:r>
    </w:p>
    <w:p>
      <w:pPr>
        <w:spacing w:line="360" w:lineRule="auto"/>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（2）施工方案：包括但不限于施工组织方案、劳动力、机械设备和材料投入计划等；</w:t>
      </w:r>
    </w:p>
    <w:p>
      <w:pPr>
        <w:spacing w:line="360" w:lineRule="auto"/>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（3）技术措施：包括但不限于任何可能的紧急情况的处理措施、预案以及抵抗风险（包括工程施工过程中可能遇到的各种风险）的措施、</w:t>
      </w:r>
      <w:r>
        <w:rPr>
          <w:rFonts w:hint="eastAsia" w:ascii="仿宋_GB2312" w:hAnsi="黑体" w:eastAsia="仿宋_GB2312" w:cs="Times New Roman"/>
          <w:kern w:val="44"/>
          <w:sz w:val="32"/>
          <w:szCs w:val="44"/>
          <w:u w:val="none"/>
          <w:lang w:val="zh-CN"/>
        </w:rPr>
        <w:t>运输、产品指导安装和调试等主要技术保障措施、人员培训计划等</w:t>
      </w:r>
      <w:r>
        <w:rPr>
          <w:rFonts w:hint="eastAsia" w:ascii="仿宋_GB2312" w:hAnsi="黑体" w:eastAsia="仿宋_GB2312" w:cs="Times New Roman"/>
          <w:kern w:val="44"/>
          <w:sz w:val="32"/>
          <w:szCs w:val="44"/>
          <w:u w:val="none"/>
          <w:lang w:val="zh-CN" w:eastAsia="zh-CN"/>
        </w:rPr>
        <w:t>；</w:t>
      </w:r>
    </w:p>
    <w:p>
      <w:pPr>
        <w:spacing w:line="360" w:lineRule="auto"/>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）供应商认为有必要提供的其他资料。</w:t>
      </w:r>
    </w:p>
    <w:p>
      <w:pPr>
        <w:spacing w:line="360" w:lineRule="auto"/>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备注：格式自拟，请供应商按照相关要求自行编制；</w:t>
      </w:r>
    </w:p>
    <w:bookmarkEnd w:id="4"/>
    <w:p>
      <w:pPr>
        <w:spacing w:line="360" w:lineRule="auto"/>
        <w:ind w:firstLine="640" w:firstLineChars="200"/>
        <w:rPr>
          <w:rFonts w:hint="default"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1.3 报价文件的内容必须属实，任何夸张和不实的行为都会被认为是对</w:t>
      </w:r>
      <w:r>
        <w:rPr>
          <w:rFonts w:hint="eastAsia" w:ascii="仿宋_GB2312" w:hAnsi="黑体" w:eastAsia="仿宋_GB2312" w:cs="Times New Roman"/>
          <w:kern w:val="44"/>
          <w:sz w:val="32"/>
          <w:szCs w:val="44"/>
          <w:u w:val="none"/>
          <w:lang w:val="en-US" w:eastAsia="zh-CN"/>
        </w:rPr>
        <w:t>报价</w:t>
      </w:r>
      <w:r>
        <w:rPr>
          <w:rFonts w:hint="eastAsia" w:ascii="仿宋_GB2312" w:hAnsi="黑体" w:eastAsia="仿宋_GB2312" w:cs="Times New Roman"/>
          <w:kern w:val="44"/>
          <w:sz w:val="32"/>
          <w:szCs w:val="44"/>
          <w:u w:val="none"/>
          <w:lang w:val="zh-CN" w:eastAsia="zh-CN"/>
        </w:rPr>
        <w:t>文件的不响应。</w:t>
      </w:r>
    </w:p>
    <w:p>
      <w:pPr>
        <w:spacing w:line="360" w:lineRule="auto"/>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w:t>
      </w:r>
      <w:r>
        <w:rPr>
          <w:rFonts w:hint="eastAsia" w:ascii="仿宋_GB2312" w:hAnsi="黑体" w:eastAsia="仿宋_GB2312" w:cs="Times New Roman"/>
          <w:kern w:val="44"/>
          <w:sz w:val="32"/>
          <w:szCs w:val="44"/>
          <w:u w:val="none"/>
          <w:lang w:eastAsia="zh-CN"/>
        </w:rPr>
        <w:t>二</w:t>
      </w:r>
      <w:r>
        <w:rPr>
          <w:rFonts w:hint="eastAsia" w:ascii="仿宋_GB2312" w:hAnsi="黑体" w:eastAsia="仿宋_GB2312" w:cs="Times New Roman"/>
          <w:kern w:val="44"/>
          <w:sz w:val="32"/>
          <w:szCs w:val="44"/>
          <w:u w:val="none"/>
        </w:rPr>
        <w:t>）投标文件的版式</w:t>
      </w:r>
    </w:p>
    <w:p>
      <w:pPr>
        <w:spacing w:line="360" w:lineRule="auto"/>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供应商必须将投标文件按顺序合并于一个PDF文件或word文件中，编制目录索引，并插入页码，封皮需法人签字并盖章。</w:t>
      </w:r>
    </w:p>
    <w:p>
      <w:pPr>
        <w:spacing w:line="360" w:lineRule="auto"/>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w:t>
      </w:r>
      <w:r>
        <w:rPr>
          <w:rFonts w:hint="eastAsia" w:ascii="仿宋_GB2312" w:hAnsi="黑体" w:eastAsia="仿宋_GB2312" w:cs="Times New Roman"/>
          <w:kern w:val="44"/>
          <w:sz w:val="32"/>
          <w:szCs w:val="44"/>
          <w:u w:val="none"/>
          <w:lang w:eastAsia="zh-CN"/>
        </w:rPr>
        <w:t>三</w:t>
      </w:r>
      <w:r>
        <w:rPr>
          <w:rFonts w:hint="eastAsia" w:ascii="仿宋_GB2312" w:hAnsi="黑体" w:eastAsia="仿宋_GB2312" w:cs="Times New Roman"/>
          <w:kern w:val="44"/>
          <w:sz w:val="32"/>
          <w:szCs w:val="44"/>
          <w:u w:val="none"/>
        </w:rPr>
        <w:t>）投标文件的递交</w:t>
      </w:r>
    </w:p>
    <w:p>
      <w:pPr>
        <w:spacing w:line="360" w:lineRule="auto"/>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1、递交投标文件的方式和时间</w:t>
      </w:r>
    </w:p>
    <w:p>
      <w:pPr>
        <w:spacing w:line="360" w:lineRule="auto"/>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lang w:val="en-US" w:eastAsia="zh-CN"/>
        </w:rPr>
        <w:t xml:space="preserve">1.1 </w:t>
      </w:r>
      <w:r>
        <w:rPr>
          <w:rFonts w:hint="eastAsia" w:ascii="仿宋_GB2312" w:hAnsi="黑体" w:eastAsia="仿宋_GB2312" w:cs="Times New Roman"/>
          <w:kern w:val="44"/>
          <w:sz w:val="32"/>
          <w:szCs w:val="44"/>
          <w:u w:val="none"/>
        </w:rPr>
        <w:t>方式：</w:t>
      </w:r>
    </w:p>
    <w:p>
      <w:pPr>
        <w:spacing w:line="360" w:lineRule="auto"/>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rPr>
        <w:t>线上</w:t>
      </w:r>
      <w:r>
        <w:rPr>
          <w:rFonts w:hint="eastAsia" w:ascii="仿宋_GB2312" w:hAnsi="黑体" w:eastAsia="仿宋_GB2312" w:cs="Times New Roman"/>
          <w:kern w:val="44"/>
          <w:sz w:val="32"/>
          <w:szCs w:val="44"/>
          <w:u w:val="none"/>
          <w:lang w:eastAsia="zh-CN"/>
        </w:rPr>
        <w:t>：</w:t>
      </w:r>
      <w:r>
        <w:rPr>
          <w:rFonts w:hint="eastAsia" w:ascii="仿宋_GB2312" w:hAnsi="黑体" w:eastAsia="仿宋_GB2312" w:cs="Times New Roman"/>
          <w:kern w:val="44"/>
          <w:sz w:val="32"/>
          <w:szCs w:val="44"/>
          <w:u w:val="none"/>
        </w:rPr>
        <w:t>登录隆道云平台报价</w:t>
      </w:r>
      <w:r>
        <w:rPr>
          <w:rFonts w:hint="eastAsia" w:ascii="仿宋_GB2312" w:hAnsi="黑体" w:eastAsia="仿宋_GB2312" w:cs="Times New Roman"/>
          <w:kern w:val="44"/>
          <w:sz w:val="32"/>
          <w:szCs w:val="44"/>
          <w:u w:val="none"/>
          <w:lang w:eastAsia="zh-CN"/>
        </w:rPr>
        <w:t>，或登录山东岱岳制盐有限公司官网（</w:t>
      </w:r>
      <w:r>
        <w:rPr>
          <w:rFonts w:hint="eastAsia" w:ascii="仿宋_GB2312" w:hAnsi="黑体" w:eastAsia="仿宋_GB2312" w:cs="Times New Roman"/>
          <w:kern w:val="44"/>
          <w:sz w:val="32"/>
          <w:szCs w:val="44"/>
          <w:u w:val="none"/>
          <w:lang w:val="en-US" w:eastAsia="zh-CN"/>
        </w:rPr>
        <w:t>www.sddyzy.com</w:t>
      </w:r>
      <w:r>
        <w:rPr>
          <w:rFonts w:hint="eastAsia" w:ascii="仿宋_GB2312" w:hAnsi="黑体" w:eastAsia="仿宋_GB2312" w:cs="Times New Roman"/>
          <w:kern w:val="44"/>
          <w:sz w:val="32"/>
          <w:szCs w:val="44"/>
          <w:u w:val="none"/>
          <w:lang w:eastAsia="zh-CN"/>
        </w:rPr>
        <w:t>）查看招标公告</w:t>
      </w:r>
      <w:r>
        <w:rPr>
          <w:rFonts w:hint="eastAsia" w:ascii="仿宋_GB2312" w:hAnsi="黑体" w:eastAsia="仿宋_GB2312" w:cs="Times New Roman"/>
          <w:kern w:val="44"/>
          <w:sz w:val="32"/>
          <w:szCs w:val="44"/>
          <w:u w:val="none"/>
        </w:rPr>
        <w:t>；</w:t>
      </w:r>
    </w:p>
    <w:p>
      <w:pPr>
        <w:spacing w:line="360" w:lineRule="auto"/>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lang w:eastAsia="zh-CN"/>
        </w:rPr>
        <w:t>线下：报专用邮箱：</w:t>
      </w:r>
      <w:r>
        <w:rPr>
          <w:rFonts w:hint="eastAsia" w:ascii="仿宋_GB2312" w:hAnsi="黑体" w:eastAsia="仿宋_GB2312" w:cs="Times New Roman"/>
          <w:kern w:val="44"/>
          <w:sz w:val="32"/>
          <w:szCs w:val="44"/>
          <w:u w:val="none"/>
          <w:lang w:eastAsia="zh-CN"/>
        </w:rPr>
        <w:fldChar w:fldCharType="begin"/>
      </w:r>
      <w:r>
        <w:rPr>
          <w:rFonts w:hint="eastAsia" w:ascii="仿宋_GB2312" w:hAnsi="黑体" w:eastAsia="仿宋_GB2312" w:cs="Times New Roman"/>
          <w:kern w:val="44"/>
          <w:sz w:val="32"/>
          <w:szCs w:val="44"/>
          <w:u w:val="none"/>
          <w:lang w:eastAsia="zh-CN"/>
        </w:rPr>
        <w:instrText xml:space="preserve"> HYPERLINK "mailto:dyzy009@163.com" </w:instrText>
      </w:r>
      <w:r>
        <w:rPr>
          <w:rFonts w:hint="eastAsia" w:ascii="仿宋_GB2312" w:hAnsi="黑体" w:eastAsia="仿宋_GB2312" w:cs="Times New Roman"/>
          <w:kern w:val="44"/>
          <w:sz w:val="32"/>
          <w:szCs w:val="44"/>
          <w:u w:val="none"/>
          <w:lang w:eastAsia="zh-CN"/>
        </w:rPr>
        <w:fldChar w:fldCharType="separate"/>
      </w:r>
      <w:r>
        <w:rPr>
          <w:rFonts w:hint="eastAsia" w:ascii="仿宋_GB2312" w:hAnsi="黑体" w:eastAsia="仿宋_GB2312" w:cs="Times New Roman"/>
          <w:kern w:val="44"/>
          <w:sz w:val="32"/>
          <w:szCs w:val="44"/>
          <w:u w:val="none"/>
          <w:lang w:val="en-US" w:eastAsia="zh-CN"/>
        </w:rPr>
        <w:t>dyqgb002</w:t>
      </w:r>
      <w:r>
        <w:rPr>
          <w:rFonts w:hint="eastAsia" w:ascii="仿宋_GB2312" w:hAnsi="黑体" w:eastAsia="仿宋_GB2312" w:cs="Times New Roman"/>
          <w:kern w:val="44"/>
          <w:sz w:val="32"/>
          <w:szCs w:val="44"/>
          <w:u w:val="none"/>
          <w:lang w:eastAsia="zh-CN"/>
        </w:rPr>
        <w:t>@163.com</w:t>
      </w:r>
      <w:r>
        <w:rPr>
          <w:rFonts w:hint="eastAsia" w:ascii="仿宋_GB2312" w:hAnsi="黑体" w:eastAsia="仿宋_GB2312" w:cs="Times New Roman"/>
          <w:kern w:val="44"/>
          <w:sz w:val="32"/>
          <w:szCs w:val="44"/>
          <w:u w:val="none"/>
          <w:lang w:eastAsia="zh-CN"/>
        </w:rPr>
        <w:fldChar w:fldCharType="end"/>
      </w:r>
      <w:r>
        <w:rPr>
          <w:rFonts w:hint="eastAsia" w:ascii="仿宋_GB2312" w:hAnsi="黑体" w:eastAsia="仿宋_GB2312" w:cs="Times New Roman"/>
          <w:kern w:val="44"/>
          <w:sz w:val="32"/>
          <w:szCs w:val="44"/>
          <w:u w:val="none"/>
          <w:lang w:eastAsia="zh-CN"/>
        </w:rPr>
        <w:t>；</w:t>
      </w:r>
    </w:p>
    <w:p>
      <w:pPr>
        <w:spacing w:line="360" w:lineRule="auto"/>
        <w:ind w:firstLine="640" w:firstLineChars="200"/>
        <w:rPr>
          <w:rFonts w:hint="eastAsia" w:ascii="仿宋_GB2312" w:hAnsi="黑体" w:eastAsia="仿宋_GB2312" w:cs="Times New Roman"/>
          <w:color w:val="FF0000"/>
          <w:kern w:val="44"/>
          <w:sz w:val="32"/>
          <w:szCs w:val="44"/>
          <w:u w:val="none"/>
        </w:rPr>
      </w:pPr>
      <w:r>
        <w:rPr>
          <w:rFonts w:hint="eastAsia" w:ascii="仿宋_GB2312" w:hAnsi="黑体" w:eastAsia="仿宋_GB2312" w:cs="Times New Roman"/>
          <w:color w:val="FF0000"/>
          <w:kern w:val="44"/>
          <w:sz w:val="32"/>
          <w:szCs w:val="44"/>
          <w:u w:val="none"/>
          <w:lang w:val="en-US" w:eastAsia="zh-CN"/>
        </w:rPr>
        <w:t xml:space="preserve">1.2 </w:t>
      </w:r>
      <w:r>
        <w:rPr>
          <w:rFonts w:hint="eastAsia" w:ascii="仿宋_GB2312" w:hAnsi="黑体" w:eastAsia="仿宋_GB2312" w:cs="Times New Roman"/>
          <w:color w:val="FF0000"/>
          <w:kern w:val="44"/>
          <w:sz w:val="32"/>
          <w:szCs w:val="44"/>
          <w:u w:val="none"/>
        </w:rPr>
        <w:t>投标截止时间：</w:t>
      </w:r>
      <w:r>
        <w:rPr>
          <w:rFonts w:hint="eastAsia" w:ascii="仿宋_GB2312" w:hAnsi="黑体" w:eastAsia="仿宋_GB2312" w:cs="Times New Roman"/>
          <w:color w:val="FF0000"/>
          <w:kern w:val="44"/>
          <w:sz w:val="32"/>
          <w:szCs w:val="44"/>
          <w:u w:val="none"/>
          <w:lang w:val="en-US" w:eastAsia="zh-CN"/>
        </w:rPr>
        <w:t>截止时间</w:t>
      </w:r>
      <w:r>
        <w:rPr>
          <w:rFonts w:hint="eastAsia" w:ascii="仿宋_GB2312" w:hAnsi="黑体" w:eastAsia="仿宋_GB2312" w:cs="Times New Roman"/>
          <w:color w:val="FF0000"/>
          <w:kern w:val="44"/>
          <w:sz w:val="32"/>
          <w:szCs w:val="44"/>
          <w:u w:val="none"/>
        </w:rPr>
        <w:t>2</w:t>
      </w:r>
      <w:r>
        <w:rPr>
          <w:rFonts w:hint="eastAsia" w:ascii="仿宋_GB2312" w:hAnsi="黑体" w:eastAsia="仿宋_GB2312" w:cs="Times New Roman"/>
          <w:color w:val="FF0000"/>
          <w:kern w:val="44"/>
          <w:sz w:val="32"/>
          <w:szCs w:val="44"/>
          <w:u w:val="none"/>
          <w:lang w:val="en-US" w:eastAsia="zh-CN"/>
        </w:rPr>
        <w:t>023年6月23日24时00分。</w:t>
      </w:r>
    </w:p>
    <w:p>
      <w:pPr>
        <w:pStyle w:val="2"/>
        <w:spacing w:line="360" w:lineRule="auto"/>
        <w:ind w:firstLine="640" w:firstLineChars="200"/>
        <w:rPr>
          <w:rFonts w:hint="eastAsia" w:ascii="仿宋_GB2312" w:hAnsi="黑体" w:eastAsia="仿宋_GB2312" w:cs="Times New Roman"/>
          <w:color w:val="FF0000"/>
          <w:kern w:val="44"/>
          <w:sz w:val="32"/>
          <w:szCs w:val="44"/>
          <w:u w:val="none"/>
        </w:rPr>
      </w:pPr>
      <w:r>
        <w:rPr>
          <w:rFonts w:hint="eastAsia" w:ascii="仿宋_GB2312" w:hAnsi="黑体" w:eastAsia="仿宋_GB2312" w:cs="Times New Roman"/>
          <w:color w:val="FF0000"/>
          <w:kern w:val="44"/>
          <w:sz w:val="32"/>
          <w:szCs w:val="44"/>
          <w:u w:val="none"/>
          <w:lang w:val="en-US" w:eastAsia="zh-CN"/>
        </w:rPr>
        <w:t xml:space="preserve">1.3 </w:t>
      </w:r>
      <w:r>
        <w:rPr>
          <w:rFonts w:hint="eastAsia" w:ascii="仿宋_GB2312" w:hAnsi="黑体" w:eastAsia="仿宋_GB2312" w:cs="Times New Roman"/>
          <w:color w:val="FF0000"/>
          <w:kern w:val="44"/>
          <w:sz w:val="32"/>
          <w:szCs w:val="44"/>
          <w:u w:val="none"/>
        </w:rPr>
        <w:t>供应商代表必须在投标截止时间前将投标文件上传</w:t>
      </w:r>
      <w:r>
        <w:rPr>
          <w:rFonts w:hint="eastAsia" w:ascii="仿宋_GB2312" w:hAnsi="黑体" w:eastAsia="仿宋_GB2312" w:cs="Times New Roman"/>
          <w:color w:val="FF0000"/>
          <w:kern w:val="44"/>
          <w:sz w:val="32"/>
          <w:szCs w:val="44"/>
          <w:u w:val="none"/>
          <w:lang w:eastAsia="zh-CN"/>
        </w:rPr>
        <w:t>并邮寄至少</w:t>
      </w:r>
      <w:r>
        <w:rPr>
          <w:rFonts w:hint="eastAsia" w:ascii="仿宋_GB2312" w:hAnsi="黑体" w:eastAsia="仿宋_GB2312" w:cs="Times New Roman"/>
          <w:color w:val="FF0000"/>
          <w:kern w:val="44"/>
          <w:sz w:val="32"/>
          <w:szCs w:val="44"/>
          <w:u w:val="none"/>
          <w:lang w:val="en-US" w:eastAsia="zh-CN"/>
        </w:rPr>
        <w:t>3份投标文件（加盖公章并密封）至采购人，邮寄地址：</w:t>
      </w:r>
      <w:r>
        <w:rPr>
          <w:rFonts w:hint="eastAsia" w:ascii="仿宋_GB2312" w:hAnsi="宋体" w:eastAsia="仿宋_GB2312" w:cs="Times New Roman"/>
          <w:color w:val="FF0000"/>
          <w:sz w:val="32"/>
          <w:szCs w:val="32"/>
          <w:u w:val="none"/>
          <w:lang w:val="en-US" w:eastAsia="zh-CN"/>
        </w:rPr>
        <w:t>山东省泰安市岱岳区大汶口石膏工业园区山东岱岳制盐有限公司新厂企管部；收件人：侯经理，18953832888。</w:t>
      </w:r>
    </w:p>
    <w:p>
      <w:pPr>
        <w:spacing w:line="360" w:lineRule="auto"/>
        <w:ind w:firstLine="640" w:firstLineChars="200"/>
        <w:rPr>
          <w:rFonts w:hint="eastAsia" w:ascii="仿宋_GB2312" w:hAnsi="黑体" w:eastAsia="仿宋_GB2312" w:cs="Times New Roman"/>
          <w:color w:val="FF0000"/>
          <w:kern w:val="44"/>
          <w:sz w:val="32"/>
          <w:szCs w:val="44"/>
          <w:u w:val="none"/>
        </w:rPr>
      </w:pPr>
      <w:r>
        <w:rPr>
          <w:rFonts w:hint="eastAsia" w:ascii="仿宋_GB2312" w:hAnsi="黑体" w:eastAsia="仿宋_GB2312" w:cs="Times New Roman"/>
          <w:color w:val="FF0000"/>
          <w:kern w:val="44"/>
          <w:sz w:val="32"/>
          <w:szCs w:val="44"/>
          <w:u w:val="none"/>
          <w:lang w:val="en-US" w:eastAsia="zh-CN"/>
        </w:rPr>
        <w:t xml:space="preserve">1.4 </w:t>
      </w:r>
      <w:r>
        <w:rPr>
          <w:rFonts w:hint="eastAsia" w:ascii="仿宋_GB2312" w:hAnsi="黑体" w:eastAsia="仿宋_GB2312" w:cs="Times New Roman"/>
          <w:color w:val="FF0000"/>
          <w:kern w:val="44"/>
          <w:sz w:val="32"/>
          <w:szCs w:val="44"/>
          <w:u w:val="none"/>
        </w:rPr>
        <w:t>电报、电话、</w:t>
      </w:r>
      <w:r>
        <w:rPr>
          <w:rFonts w:hint="eastAsia" w:ascii="仿宋_GB2312" w:hAnsi="黑体" w:eastAsia="仿宋_GB2312" w:cs="Times New Roman"/>
          <w:color w:val="FF0000"/>
          <w:kern w:val="44"/>
          <w:sz w:val="32"/>
          <w:szCs w:val="44"/>
          <w:u w:val="none"/>
          <w:lang w:eastAsia="zh-CN"/>
        </w:rPr>
        <w:t>口头报价</w:t>
      </w:r>
      <w:r>
        <w:rPr>
          <w:rFonts w:hint="eastAsia" w:ascii="仿宋_GB2312" w:hAnsi="黑体" w:eastAsia="仿宋_GB2312" w:cs="Times New Roman"/>
          <w:color w:val="FF0000"/>
          <w:kern w:val="44"/>
          <w:sz w:val="32"/>
          <w:szCs w:val="44"/>
          <w:u w:val="none"/>
        </w:rPr>
        <w:t>等形式的投标概不接受。</w:t>
      </w:r>
    </w:p>
    <w:p>
      <w:pPr>
        <w:spacing w:line="360" w:lineRule="auto"/>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w:t>
      </w:r>
      <w:r>
        <w:rPr>
          <w:rFonts w:hint="eastAsia" w:ascii="仿宋_GB2312" w:hAnsi="黑体" w:eastAsia="仿宋_GB2312" w:cs="Times New Roman"/>
          <w:kern w:val="44"/>
          <w:sz w:val="32"/>
          <w:szCs w:val="44"/>
          <w:u w:val="none"/>
          <w:lang w:eastAsia="zh-CN"/>
        </w:rPr>
        <w:t>四</w:t>
      </w:r>
      <w:r>
        <w:rPr>
          <w:rFonts w:hint="eastAsia" w:ascii="仿宋_GB2312" w:hAnsi="黑体" w:eastAsia="仿宋_GB2312" w:cs="Times New Roman"/>
          <w:kern w:val="44"/>
          <w:sz w:val="32"/>
          <w:szCs w:val="44"/>
          <w:u w:val="none"/>
        </w:rPr>
        <w:t>）迟交的投标文件</w:t>
      </w:r>
    </w:p>
    <w:p>
      <w:pPr>
        <w:spacing w:line="360" w:lineRule="auto"/>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采购人将拒绝接收在投标截止时间后送达的投标文件。</w:t>
      </w:r>
    </w:p>
    <w:p>
      <w:pPr>
        <w:spacing w:line="360" w:lineRule="auto"/>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六、无效投标</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（一）供应商有下列情况之一，其投标视为无效投标。</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1、不具备招标文件中规定的资格要求的；</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2、投标文件含有采购人不能接受的附加条件的；</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3、投标有效期不满足招标文件要求；</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4、供应商所报服务不能满足招标文件要求的；</w:t>
      </w:r>
      <w:r>
        <w:rPr>
          <w:rFonts w:hint="eastAsia" w:ascii="仿宋_GB2312" w:hAnsi="黑体" w:eastAsia="仿宋_GB2312" w:cs="Times New Roman"/>
          <w:kern w:val="44"/>
          <w:sz w:val="32"/>
          <w:szCs w:val="44"/>
        </w:rPr>
        <w:tab/>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5、供应商存在弄虚作假的行为；</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6、属于采购人与供应商、供应商之间相互串通投标情形；</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7、对采购人、采购代理机构、评标委员会及其他工作人员施加影响，有碍公平、公正；</w:t>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8、招标文件规定的其他投标无效情形；</w:t>
      </w:r>
      <w:r>
        <w:rPr>
          <w:rFonts w:hint="eastAsia" w:ascii="仿宋_GB2312" w:hAnsi="黑体" w:eastAsia="仿宋_GB2312" w:cs="Times New Roman"/>
          <w:kern w:val="44"/>
          <w:sz w:val="32"/>
          <w:szCs w:val="44"/>
        </w:rPr>
        <w:tab/>
      </w:r>
    </w:p>
    <w:p>
      <w:pPr>
        <w:spacing w:line="360" w:lineRule="auto"/>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9、法律、法规、规章规定属于投标无效的其他。</w:t>
      </w:r>
    </w:p>
    <w:p>
      <w:pPr>
        <w:spacing w:line="360" w:lineRule="auto"/>
        <w:jc w:val="center"/>
        <w:rPr>
          <w:rFonts w:ascii="方正小标宋简体" w:hAnsi="黑体" w:eastAsia="方正小标宋简体" w:cs="Times New Roman"/>
          <w:kern w:val="44"/>
          <w:sz w:val="44"/>
          <w:szCs w:val="44"/>
        </w:rPr>
      </w:pPr>
      <w:r>
        <w:rPr>
          <w:rFonts w:ascii="Times New Roman" w:hAnsi="Times New Roman" w:eastAsia="宋体" w:cs="Times New Roman"/>
          <w:szCs w:val="24"/>
        </w:rPr>
        <w:br w:type="page"/>
      </w:r>
      <w:bookmarkStart w:id="5" w:name="_Toc152042364"/>
      <w:bookmarkStart w:id="6" w:name="_Toc179632605"/>
      <w:bookmarkStart w:id="7" w:name="_Toc152045587"/>
      <w:bookmarkStart w:id="8" w:name="_Toc144974554"/>
      <w:r>
        <w:rPr>
          <w:rFonts w:hint="eastAsia" w:ascii="方正小标宋简体" w:hAnsi="黑体" w:eastAsia="方正小标宋简体" w:cs="Times New Roman"/>
          <w:kern w:val="44"/>
          <w:sz w:val="44"/>
          <w:szCs w:val="44"/>
        </w:rPr>
        <w:t>第三章 评标办法</w:t>
      </w:r>
      <w:bookmarkEnd w:id="5"/>
      <w:bookmarkEnd w:id="6"/>
      <w:bookmarkEnd w:id="7"/>
      <w:bookmarkEnd w:id="8"/>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一、评标委员会</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按照相关规定由五人及以上单数组成评标委员会，评标委员会负责对投标文件进行审查、质疑、评审，确定中标候选人。</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二、资格审查及投标文件的响应性审查</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（一）本项目资格审查方式为资格后审。</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（二）评标委员会将组织审查投标文件是否完整；是否按规定报价；报价是否有错误；投标文件是否已按招标文件的要求签署。</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（三）评标委员会经审查供应商提供的投标文件，如果确定供应商无资格或无能力履行合同，其投标将被拒绝。</w:t>
      </w:r>
    </w:p>
    <w:p>
      <w:pPr>
        <w:spacing w:line="360" w:lineRule="auto"/>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（四）</w:t>
      </w:r>
      <w:r>
        <w:rPr>
          <w:rFonts w:hint="eastAsia" w:ascii="仿宋_GB2312" w:hAnsi="Times New Roman" w:eastAsia="仿宋_GB2312" w:cs="Times New Roman"/>
          <w:spacing w:val="-6"/>
          <w:sz w:val="32"/>
          <w:szCs w:val="32"/>
        </w:rPr>
        <w:t>评标委员会将确定每一供应商是否对招标文件的要求做出了实质性的响</w:t>
      </w:r>
      <w:r>
        <w:rPr>
          <w:rFonts w:hint="eastAsia" w:ascii="仿宋_GB2312" w:hAnsi="Times New Roman" w:eastAsia="仿宋_GB2312" w:cs="Times New Roman"/>
          <w:spacing w:val="-4"/>
          <w:sz w:val="32"/>
          <w:szCs w:val="32"/>
        </w:rPr>
        <w:t>应而没有重大偏离。实质性响应的投标是指投标符合招标文件的所有条款、条</w:t>
      </w:r>
      <w:r>
        <w:rPr>
          <w:rFonts w:hint="eastAsia" w:ascii="仿宋_GB2312" w:hAnsi="Times New Roman" w:eastAsia="仿宋_GB2312" w:cs="Times New Roman"/>
          <w:spacing w:val="-3"/>
          <w:sz w:val="32"/>
          <w:szCs w:val="32"/>
        </w:rPr>
        <w:t>件和规定且没有重大偏离或保留。评标委员会判断投标文件的响应性仅基于投标文件本身而不靠外部证据。</w:t>
      </w:r>
    </w:p>
    <w:p>
      <w:pPr>
        <w:spacing w:line="360" w:lineRule="auto"/>
        <w:ind w:firstLine="640" w:firstLineChars="200"/>
        <w:rPr>
          <w:rFonts w:ascii="黑体" w:hAnsi="黑体" w:eastAsia="黑体" w:cs="Times New Roman"/>
          <w:sz w:val="32"/>
          <w:szCs w:val="32"/>
        </w:rPr>
      </w:pPr>
      <w:r>
        <w:rPr>
          <w:rFonts w:hint="eastAsia" w:ascii="仿宋_GB2312" w:hAnsi="Times New Roman" w:eastAsia="仿宋_GB2312" w:cs="Times New Roman"/>
          <w:sz w:val="32"/>
          <w:szCs w:val="32"/>
        </w:rPr>
        <w:t>（五）评标委员会将拒绝被确定为非实质性响应的投标文件，供应商不能通过修正或撤销投标文件中的不符之处而使其投标成为实质性响应的投标。</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三、评标原则</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“公平、公正、竞争、择优”为本次评标的基本原则，评标委员会将按照</w:t>
      </w:r>
      <w:r>
        <w:rPr>
          <w:rFonts w:hint="eastAsia" w:ascii="仿宋_GB2312" w:hAnsi="Times New Roman" w:eastAsia="仿宋_GB2312" w:cs="Times New Roman"/>
          <w:spacing w:val="-7"/>
          <w:sz w:val="32"/>
          <w:szCs w:val="32"/>
        </w:rPr>
        <w:t>这一原则的要求，公正、平等地对待各供应商。同时，在评标时恪守以下原则：</w:t>
      </w:r>
    </w:p>
    <w:p>
      <w:pPr>
        <w:spacing w:line="360" w:lineRule="auto"/>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6"/>
          <w:sz w:val="32"/>
          <w:szCs w:val="32"/>
        </w:rPr>
        <w:t>客观性原则：评标委员会将严格按照招标文件的要求，对供应商的投标</w:t>
      </w:r>
      <w:r>
        <w:rPr>
          <w:rFonts w:hint="eastAsia" w:ascii="仿宋_GB2312" w:hAnsi="Times New Roman" w:eastAsia="仿宋_GB2312" w:cs="Times New Roman"/>
          <w:spacing w:val="-4"/>
          <w:sz w:val="32"/>
          <w:szCs w:val="32"/>
        </w:rPr>
        <w:t>文件进行认真评审；评标委员会对投标文件的评审仅依据投标文件本身，而不</w:t>
      </w:r>
      <w:r>
        <w:rPr>
          <w:rFonts w:hint="eastAsia" w:ascii="仿宋_GB2312" w:hAnsi="Times New Roman" w:eastAsia="仿宋_GB2312" w:cs="Times New Roman"/>
          <w:spacing w:val="-3"/>
          <w:sz w:val="32"/>
          <w:szCs w:val="32"/>
        </w:rPr>
        <w:t>依靠投标文件以外的任何因素。</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（二）统一性原则：评标委员会将按照统一的评标原则和评标方法，用同一标准进行评标。</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（三）独立性原则：评标工作在评标委员会内部独立进行，不受外界任何因素的干扰和影响。评委对出具的评标意见承担个人责任。</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（四）保密性原则：评委及熟知情况的有关工作人员必须对供应商的商业秘密严格保密。</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（五）综合性原则：评标委员会将综合分析、评审供应商的各项指标，而不以单项指标的优劣评定出中标人。</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四、定标原则和评标方法</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（一）按能够最大限度的满足招标文件，采用综合评估法，以综合得分最高分中标的原则定标。</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（二）采用综合评分法来确定中标人，最低报价不作为中标的唯一依据。</w:t>
      </w:r>
    </w:p>
    <w:p>
      <w:pPr>
        <w:spacing w:line="360" w:lineRule="auto"/>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评标程序：</w:t>
      </w:r>
    </w:p>
    <w:p>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初步评审</w:t>
      </w:r>
    </w:p>
    <w:p>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依据招标文件的规定，从投标文件的有效性、完整性和响应程度进行审查，以确定是否对招标文件的要求做出了实质性的响应。</w:t>
      </w:r>
    </w:p>
    <w:p>
      <w:pPr>
        <w:spacing w:line="360" w:lineRule="auto"/>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综合评</w:t>
      </w:r>
      <w:r>
        <w:rPr>
          <w:rFonts w:hint="eastAsia" w:ascii="仿宋_GB2312" w:hAnsi="Times New Roman" w:eastAsia="仿宋_GB2312" w:cs="Times New Roman"/>
          <w:sz w:val="32"/>
          <w:szCs w:val="32"/>
          <w:lang w:eastAsia="zh-CN"/>
        </w:rPr>
        <w:t>标</w:t>
      </w:r>
    </w:p>
    <w:p>
      <w:pPr>
        <w:spacing w:line="360" w:lineRule="auto"/>
        <w:ind w:firstLine="640" w:firstLineChars="200"/>
        <w:rPr>
          <w:rFonts w:hint="eastAsia" w:ascii="仿宋_GB2312" w:hAnsi="Times New Roman" w:eastAsia="仿宋_GB2312" w:cs="Times New Roman"/>
          <w:sz w:val="32"/>
          <w:szCs w:val="32"/>
        </w:rPr>
      </w:pPr>
      <w:r>
        <w:rPr>
          <w:rFonts w:hint="eastAsia" w:ascii="仿宋_GB2312" w:hAnsi="黑体" w:eastAsia="仿宋_GB2312" w:cs="Times New Roman"/>
          <w:kern w:val="44"/>
          <w:sz w:val="32"/>
          <w:szCs w:val="44"/>
          <w:u w:val="double"/>
          <w:lang w:val="zh-CN" w:eastAsia="zh-CN"/>
        </w:rPr>
        <w:t>评标委员会将根据各自提供的施工方案、技术方案、技术措施及售后服务等内容进行评比打分，</w:t>
      </w:r>
      <w:r>
        <w:rPr>
          <w:rFonts w:hint="eastAsia" w:ascii="仿宋_GB2312" w:hAnsi="Times New Roman" w:eastAsia="仿宋_GB2312" w:cs="Times New Roman"/>
          <w:sz w:val="32"/>
          <w:szCs w:val="32"/>
          <w:lang w:eastAsia="zh-CN"/>
        </w:rPr>
        <w:t>然后</w:t>
      </w:r>
      <w:r>
        <w:rPr>
          <w:rFonts w:hint="eastAsia" w:ascii="仿宋_GB2312" w:hAnsi="Times New Roman" w:eastAsia="仿宋_GB2312" w:cs="Times New Roman"/>
          <w:sz w:val="32"/>
          <w:szCs w:val="32"/>
        </w:rPr>
        <w:t>根据综合评分情况，按照评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得分由高到低顺序确定中标人，评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得分相同的，按照报价由低到高的顺序确定中标人，评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得分相同且最后报价相同的，按照技术指标优劣顺序确定中标人。</w:t>
      </w:r>
    </w:p>
    <w:p>
      <w:pPr>
        <w:spacing w:line="360" w:lineRule="auto"/>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3、评标因素及分值：</w:t>
      </w:r>
    </w:p>
    <w:tbl>
      <w:tblPr>
        <w:tblStyle w:val="18"/>
        <w:tblpPr w:leftFromText="180" w:rightFromText="180" w:vertAnchor="text" w:horzAnchor="page" w:tblpX="2124" w:tblpY="251"/>
        <w:tblOverlap w:val="never"/>
        <w:tblW w:w="0" w:type="auto"/>
        <w:tblInd w:w="0" w:type="dxa"/>
        <w:tblLayout w:type="fixed"/>
        <w:tblCellMar>
          <w:top w:w="0" w:type="dxa"/>
          <w:left w:w="10" w:type="dxa"/>
          <w:bottom w:w="0" w:type="dxa"/>
          <w:right w:w="10" w:type="dxa"/>
        </w:tblCellMar>
      </w:tblPr>
      <w:tblGrid>
        <w:gridCol w:w="1313"/>
        <w:gridCol w:w="1640"/>
        <w:gridCol w:w="1640"/>
        <w:gridCol w:w="1644"/>
        <w:gridCol w:w="1151"/>
      </w:tblGrid>
      <w:tr>
        <w:tblPrEx>
          <w:tblCellMar>
            <w:top w:w="0" w:type="dxa"/>
            <w:left w:w="10" w:type="dxa"/>
            <w:bottom w:w="0" w:type="dxa"/>
            <w:right w:w="10" w:type="dxa"/>
          </w:tblCellMar>
        </w:tblPrEx>
        <w:trPr>
          <w:trHeight w:val="459"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spacing w:line="360" w:lineRule="auto"/>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评分因素</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spacing w:line="360" w:lineRule="auto"/>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报价得分</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spacing w:line="360" w:lineRule="auto"/>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商务得分</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spacing w:line="360" w:lineRule="auto"/>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技术</w:t>
            </w:r>
            <w:r>
              <w:rPr>
                <w:rFonts w:hint="eastAsia" w:ascii="仿宋_GB2312" w:hAnsi="仿宋" w:eastAsia="仿宋_GB2312"/>
                <w:b/>
                <w:color w:val="000000"/>
                <w:sz w:val="24"/>
                <w:szCs w:val="24"/>
                <w:lang w:val="zh-CN"/>
              </w:rPr>
              <w:t>得分</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spacing w:line="360" w:lineRule="auto"/>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总分值</w:t>
            </w:r>
          </w:p>
        </w:tc>
      </w:tr>
      <w:tr>
        <w:tblPrEx>
          <w:tblCellMar>
            <w:top w:w="0" w:type="dxa"/>
            <w:left w:w="10" w:type="dxa"/>
            <w:bottom w:w="0" w:type="dxa"/>
            <w:right w:w="10" w:type="dxa"/>
          </w:tblCellMar>
        </w:tblPrEx>
        <w:trPr>
          <w:trHeight w:val="613"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spacing w:line="360" w:lineRule="auto"/>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分值</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spacing w:line="360" w:lineRule="auto"/>
              <w:ind w:left="1050" w:right="-318" w:hanging="1224"/>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pacing w:line="360" w:lineRule="auto"/>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22</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pacing w:line="360" w:lineRule="auto"/>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28</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spacing w:line="360" w:lineRule="auto"/>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100</w:t>
            </w:r>
          </w:p>
        </w:tc>
      </w:tr>
    </w:tbl>
    <w:p>
      <w:pPr>
        <w:spacing w:line="360" w:lineRule="auto"/>
        <w:ind w:firstLine="640" w:firstLineChars="200"/>
        <w:rPr>
          <w:rFonts w:hint="eastAsia" w:ascii="仿宋_GB2312" w:hAnsi="Times New Roman" w:eastAsia="仿宋_GB2312" w:cs="Times New Roman"/>
          <w:sz w:val="32"/>
          <w:szCs w:val="32"/>
          <w:lang w:val="en-US" w:eastAsia="zh-CN"/>
        </w:rPr>
      </w:pPr>
    </w:p>
    <w:p>
      <w:pPr>
        <w:spacing w:line="360" w:lineRule="auto"/>
        <w:ind w:firstLine="640" w:firstLineChars="200"/>
        <w:rPr>
          <w:rFonts w:hint="eastAsia" w:ascii="仿宋_GB2312" w:hAnsi="Times New Roman" w:eastAsia="仿宋_GB2312" w:cs="Times New Roman"/>
          <w:sz w:val="32"/>
          <w:szCs w:val="32"/>
          <w:lang w:val="en-US" w:eastAsia="zh-CN"/>
        </w:rPr>
      </w:pPr>
    </w:p>
    <w:p>
      <w:pPr>
        <w:spacing w:line="360" w:lineRule="auto"/>
        <w:ind w:firstLine="640" w:firstLineChars="200"/>
        <w:rPr>
          <w:rFonts w:hint="eastAsia" w:ascii="仿宋_GB2312" w:hAnsi="Times New Roman" w:eastAsia="仿宋_GB2312" w:cs="Times New Roman"/>
          <w:sz w:val="32"/>
          <w:szCs w:val="32"/>
          <w:lang w:val="en-US" w:eastAsia="zh-CN"/>
        </w:rPr>
      </w:pPr>
    </w:p>
    <w:p>
      <w:pPr>
        <w:spacing w:line="360" w:lineRule="auto"/>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3.1报价得分</w:t>
      </w:r>
    </w:p>
    <w:tbl>
      <w:tblPr>
        <w:tblStyle w:val="18"/>
        <w:tblW w:w="8008" w:type="dxa"/>
        <w:tblInd w:w="292" w:type="dxa"/>
        <w:tblLayout w:type="fixed"/>
        <w:tblCellMar>
          <w:top w:w="0" w:type="dxa"/>
          <w:left w:w="108" w:type="dxa"/>
          <w:bottom w:w="0" w:type="dxa"/>
          <w:right w:w="108" w:type="dxa"/>
        </w:tblCellMar>
      </w:tblPr>
      <w:tblGrid>
        <w:gridCol w:w="1281"/>
        <w:gridCol w:w="830"/>
        <w:gridCol w:w="5897"/>
      </w:tblGrid>
      <w:tr>
        <w:tblPrEx>
          <w:tblCellMar>
            <w:top w:w="0" w:type="dxa"/>
            <w:left w:w="108" w:type="dxa"/>
            <w:bottom w:w="0" w:type="dxa"/>
            <w:right w:w="108" w:type="dxa"/>
          </w:tblCellMar>
        </w:tblPrEx>
        <w:trPr>
          <w:trHeight w:val="653"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auto"/>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auto"/>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auto"/>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90"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auto"/>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报价</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auto"/>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（1）有效投标人数少于5家（含5家），所有有效报价的算术平均值的90%为评标基准价，（保留两位小数）。</w:t>
            </w:r>
          </w:p>
          <w:p>
            <w:pPr>
              <w:wordWrap w:val="0"/>
              <w:autoSpaceDE w:val="0"/>
              <w:autoSpaceDN w:val="0"/>
              <w:snapToGri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（2）有效投标人数多于6家（含6家），去掉一个最高报价和一个最低报价后，其余有效报价算术平均值的90%（保留两位小数）作为评标基准价。</w:t>
            </w:r>
          </w:p>
          <w:p>
            <w:pPr>
              <w:wordWrap w:val="0"/>
              <w:autoSpaceDE w:val="0"/>
              <w:autoSpaceDN w:val="0"/>
              <w:snapToGri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（3）报价与评标基准价一致的，得最高分</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分：在评标基准价以上，每提高一个百分点，在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分基础上减1分；在评标基准价以下，每减少一个百分点，在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分的基础上减0.5分。（最低得20分）</w:t>
            </w:r>
          </w:p>
          <w:p>
            <w:pPr>
              <w:wordWrap w:val="0"/>
              <w:autoSpaceDE w:val="0"/>
              <w:autoSpaceDN w:val="0"/>
              <w:snapToGrid w:val="0"/>
              <w:spacing w:line="360" w:lineRule="auto"/>
              <w:ind w:firstLine="480" w:firstLineChars="200"/>
              <w:rPr>
                <w:rFonts w:ascii="仿宋_GB2312" w:hAnsi="仿宋" w:eastAsia="仿宋_GB2312"/>
                <w:color w:val="000000"/>
                <w:sz w:val="24"/>
                <w:szCs w:val="24"/>
                <w:lang w:val="zh-CN"/>
              </w:rPr>
            </w:pPr>
            <w:r>
              <w:rPr>
                <w:rFonts w:ascii="仿宋_GB2312" w:hAnsi="仿宋" w:eastAsia="仿宋_GB2312"/>
                <w:sz w:val="24"/>
                <w:szCs w:val="24"/>
                <w:lang w:val="zh-CN"/>
              </w:rPr>
              <w:t>偏差率=100%×（投标人报价－评标基准价）/评标基准价</w:t>
            </w:r>
          </w:p>
        </w:tc>
      </w:tr>
    </w:tbl>
    <w:p>
      <w:pPr>
        <w:spacing w:line="360" w:lineRule="auto"/>
        <w:ind w:firstLine="640"/>
        <w:rPr>
          <w:rFonts w:hint="default"/>
          <w:lang w:val="en-US" w:eastAsia="zh-CN"/>
        </w:rPr>
      </w:pPr>
    </w:p>
    <w:p>
      <w:pPr>
        <w:spacing w:line="360" w:lineRule="auto"/>
        <w:ind w:firstLine="600" w:firstLineChars="200"/>
        <w:jc w:val="left"/>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.2 商务得分</w:t>
      </w:r>
    </w:p>
    <w:tbl>
      <w:tblPr>
        <w:tblStyle w:val="18"/>
        <w:tblW w:w="0" w:type="auto"/>
        <w:tblInd w:w="292" w:type="dxa"/>
        <w:tblLayout w:type="fixed"/>
        <w:tblCellMar>
          <w:top w:w="0" w:type="dxa"/>
          <w:left w:w="108" w:type="dxa"/>
          <w:bottom w:w="0" w:type="dxa"/>
          <w:right w:w="108" w:type="dxa"/>
        </w:tblCellMar>
      </w:tblPr>
      <w:tblGrid>
        <w:gridCol w:w="1346"/>
        <w:gridCol w:w="765"/>
        <w:gridCol w:w="5897"/>
      </w:tblGrid>
      <w:tr>
        <w:tblPrEx>
          <w:tblCellMar>
            <w:top w:w="0" w:type="dxa"/>
            <w:left w:w="108" w:type="dxa"/>
            <w:bottom w:w="0" w:type="dxa"/>
            <w:right w:w="108" w:type="dxa"/>
          </w:tblCellMar>
        </w:tblPrEx>
        <w:trPr>
          <w:trHeight w:val="74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auto"/>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auto"/>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auto"/>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auto"/>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业绩</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auto"/>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auto"/>
              <w:rPr>
                <w:rFonts w:ascii="仿宋_GB2312" w:hAnsi="仿宋" w:eastAsia="仿宋_GB2312"/>
                <w:color w:val="000000"/>
                <w:sz w:val="24"/>
                <w:szCs w:val="24"/>
                <w:lang w:val="zh-CN"/>
              </w:rPr>
            </w:pPr>
            <w:r>
              <w:rPr>
                <w:rFonts w:ascii="仿宋_GB2312" w:hAnsi="仿宋" w:eastAsia="仿宋_GB2312"/>
                <w:sz w:val="24"/>
                <w:szCs w:val="24"/>
                <w:lang w:val="zh-CN"/>
              </w:rPr>
              <w:t>提供</w:t>
            </w:r>
            <w:r>
              <w:rPr>
                <w:rFonts w:hint="eastAsia" w:ascii="仿宋_GB2312" w:hAnsi="仿宋" w:eastAsia="仿宋_GB2312"/>
                <w:sz w:val="24"/>
                <w:szCs w:val="24"/>
                <w:lang w:val="en-US" w:eastAsia="zh-CN"/>
              </w:rPr>
              <w:t>近2年以来的类似业绩合同，每个业绩</w:t>
            </w:r>
            <w:r>
              <w:rPr>
                <w:rFonts w:ascii="仿宋_GB2312" w:hAnsi="仿宋" w:eastAsia="仿宋_GB2312"/>
                <w:sz w:val="24"/>
                <w:szCs w:val="24"/>
                <w:lang w:val="zh-CN"/>
              </w:rPr>
              <w:t>得基本分</w:t>
            </w:r>
            <w:r>
              <w:rPr>
                <w:rFonts w:hint="eastAsia" w:ascii="仿宋_GB2312" w:hAnsi="仿宋" w:eastAsia="仿宋_GB2312"/>
                <w:sz w:val="24"/>
                <w:szCs w:val="24"/>
                <w:lang w:val="en-US" w:eastAsia="zh-CN"/>
              </w:rPr>
              <w:t>2</w:t>
            </w:r>
            <w:r>
              <w:rPr>
                <w:rFonts w:ascii="仿宋_GB2312" w:hAnsi="仿宋" w:eastAsia="仿宋_GB2312"/>
                <w:sz w:val="24"/>
                <w:szCs w:val="24"/>
                <w:lang w:val="zh-CN"/>
              </w:rPr>
              <w:t>分，满分</w:t>
            </w:r>
            <w:r>
              <w:rPr>
                <w:rFonts w:hint="eastAsia" w:ascii="仿宋_GB2312" w:hAnsi="仿宋" w:eastAsia="仿宋_GB2312"/>
                <w:sz w:val="24"/>
                <w:szCs w:val="24"/>
                <w:lang w:val="en-US" w:eastAsia="zh-CN"/>
              </w:rPr>
              <w:t>20</w:t>
            </w:r>
            <w:r>
              <w:rPr>
                <w:rFonts w:ascii="仿宋_GB2312" w:hAnsi="仿宋" w:eastAsia="仿宋_GB2312"/>
                <w:sz w:val="24"/>
                <w:szCs w:val="24"/>
                <w:lang w:val="zh-CN"/>
              </w:rPr>
              <w:t>分。</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auto"/>
              <w:jc w:val="center"/>
              <w:rPr>
                <w:rFonts w:ascii="仿宋_GB2312" w:hAnsi="仿宋" w:eastAsia="仿宋_GB2312"/>
                <w:color w:val="000000"/>
                <w:sz w:val="24"/>
                <w:szCs w:val="24"/>
                <w:lang w:val="zh-CN"/>
              </w:rPr>
            </w:pPr>
            <w:r>
              <w:rPr>
                <w:rFonts w:hint="eastAsia" w:ascii="仿宋_GB2312" w:hAnsi="仿宋" w:eastAsia="仿宋_GB2312"/>
                <w:color w:val="000000"/>
                <w:sz w:val="24"/>
                <w:szCs w:val="24"/>
                <w:lang w:val="zh-CN"/>
              </w:rPr>
              <w:t>售后服务</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auto"/>
              <w:jc w:val="center"/>
              <w:rPr>
                <w:rFonts w:hint="eastAsia"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auto"/>
              <w:rPr>
                <w:rFonts w:hint="eastAsia" w:ascii="仿宋_GB2312" w:hAnsi="仿宋" w:eastAsia="仿宋_GB2312"/>
                <w:sz w:val="24"/>
                <w:szCs w:val="24"/>
              </w:rPr>
            </w:pPr>
            <w:r>
              <w:rPr>
                <w:rFonts w:hint="eastAsia" w:ascii="仿宋_GB2312" w:hAnsi="仿宋" w:eastAsia="仿宋_GB2312"/>
                <w:sz w:val="24"/>
                <w:szCs w:val="24"/>
                <w:lang w:eastAsia="zh-CN"/>
              </w:rPr>
              <w:t>提供售后服务方案的，得</w:t>
            </w:r>
            <w:r>
              <w:rPr>
                <w:rFonts w:hint="eastAsia" w:ascii="仿宋_GB2312" w:hAnsi="仿宋" w:eastAsia="仿宋_GB2312"/>
                <w:sz w:val="24"/>
                <w:szCs w:val="24"/>
                <w:lang w:val="en-US" w:eastAsia="zh-CN"/>
              </w:rPr>
              <w:t>1分</w:t>
            </w:r>
            <w:r>
              <w:rPr>
                <w:rFonts w:hint="eastAsia" w:ascii="仿宋_GB2312" w:hAnsi="仿宋" w:eastAsia="仿宋_GB2312"/>
                <w:sz w:val="24"/>
                <w:szCs w:val="24"/>
              </w:rPr>
              <w:t>；</w:t>
            </w:r>
          </w:p>
          <w:p>
            <w:pPr>
              <w:wordWrap w:val="0"/>
              <w:autoSpaceDE w:val="0"/>
              <w:autoSpaceDN w:val="0"/>
              <w:snapToGrid w:val="0"/>
              <w:spacing w:line="360" w:lineRule="auto"/>
              <w:ind w:firstLine="480" w:firstLineChars="200"/>
              <w:rPr>
                <w:rFonts w:hint="eastAsia" w:ascii="仿宋_GB2312" w:hAnsi="仿宋" w:eastAsia="仿宋_GB2312"/>
                <w:sz w:val="24"/>
                <w:szCs w:val="24"/>
                <w:lang w:eastAsia="zh-CN"/>
              </w:rPr>
            </w:pPr>
            <w:r>
              <w:rPr>
                <w:rFonts w:hint="eastAsia" w:ascii="仿宋_GB2312" w:hAnsi="仿宋" w:eastAsia="仿宋_GB2312"/>
                <w:sz w:val="24"/>
                <w:szCs w:val="24"/>
                <w:lang w:eastAsia="zh-CN"/>
              </w:rPr>
              <w:t>售后服务方案内容且全面、可行的，</w:t>
            </w:r>
            <w:r>
              <w:rPr>
                <w:rFonts w:hint="eastAsia" w:ascii="仿宋_GB2312" w:hAnsi="仿宋" w:eastAsia="仿宋_GB2312"/>
                <w:sz w:val="24"/>
                <w:szCs w:val="24"/>
              </w:rPr>
              <w:t>评委根据</w:t>
            </w:r>
            <w:r>
              <w:rPr>
                <w:rFonts w:hint="eastAsia" w:ascii="仿宋_GB2312" w:hAnsi="仿宋" w:eastAsia="仿宋_GB2312"/>
                <w:sz w:val="24"/>
                <w:szCs w:val="24"/>
                <w:lang w:eastAsia="zh-CN"/>
              </w:rPr>
              <w:t>文件</w:t>
            </w:r>
            <w:r>
              <w:rPr>
                <w:rFonts w:hint="eastAsia" w:ascii="仿宋_GB2312" w:hAnsi="仿宋" w:eastAsia="仿宋_GB2312"/>
                <w:sz w:val="24"/>
                <w:szCs w:val="24"/>
              </w:rPr>
              <w:t>情况酌情得0-</w:t>
            </w:r>
            <w:r>
              <w:rPr>
                <w:rFonts w:hint="eastAsia" w:ascii="仿宋_GB2312" w:hAnsi="仿宋" w:eastAsia="仿宋_GB2312"/>
                <w:sz w:val="24"/>
                <w:szCs w:val="24"/>
                <w:lang w:val="en-US" w:eastAsia="zh-CN"/>
              </w:rPr>
              <w:t>1</w:t>
            </w:r>
            <w:r>
              <w:rPr>
                <w:rFonts w:hint="eastAsia" w:ascii="仿宋_GB2312" w:hAnsi="仿宋" w:eastAsia="仿宋_GB2312"/>
                <w:sz w:val="24"/>
                <w:szCs w:val="24"/>
              </w:rPr>
              <w:t>分</w:t>
            </w:r>
            <w:r>
              <w:rPr>
                <w:rFonts w:hint="eastAsia" w:ascii="仿宋_GB2312" w:hAnsi="仿宋" w:eastAsia="仿宋_GB2312"/>
                <w:sz w:val="24"/>
                <w:szCs w:val="24"/>
                <w:lang w:eastAsia="zh-CN"/>
              </w:rPr>
              <w:t>。</w:t>
            </w:r>
          </w:p>
          <w:p>
            <w:pPr>
              <w:wordWrap w:val="0"/>
              <w:autoSpaceDE w:val="0"/>
              <w:autoSpaceDN w:val="0"/>
              <w:snapToGrid w:val="0"/>
              <w:spacing w:line="360" w:lineRule="auto"/>
              <w:rPr>
                <w:rFonts w:hint="eastAsia" w:ascii="仿宋_GB2312" w:hAnsi="仿宋" w:eastAsia="仿宋_GB2312"/>
                <w:sz w:val="24"/>
                <w:szCs w:val="24"/>
                <w:lang w:val="en-US" w:eastAsia="zh-CN"/>
              </w:rPr>
            </w:pPr>
            <w:r>
              <w:rPr>
                <w:rFonts w:hint="eastAsia" w:ascii="仿宋_GB2312" w:hAnsi="仿宋" w:eastAsia="仿宋_GB2312"/>
                <w:sz w:val="24"/>
                <w:szCs w:val="24"/>
                <w:lang w:eastAsia="zh-CN"/>
              </w:rPr>
              <w:t>若此条缺项不得分；</w:t>
            </w:r>
          </w:p>
        </w:tc>
      </w:tr>
    </w:tbl>
    <w:p>
      <w:pPr>
        <w:pStyle w:val="5"/>
        <w:spacing w:line="360" w:lineRule="auto"/>
        <w:ind w:firstLine="600"/>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.3技术得分</w:t>
      </w:r>
    </w:p>
    <w:tbl>
      <w:tblPr>
        <w:tblStyle w:val="18"/>
        <w:tblW w:w="8008" w:type="dxa"/>
        <w:tblInd w:w="292" w:type="dxa"/>
        <w:tblLayout w:type="fixed"/>
        <w:tblCellMar>
          <w:top w:w="0" w:type="dxa"/>
          <w:left w:w="108" w:type="dxa"/>
          <w:bottom w:w="0" w:type="dxa"/>
          <w:right w:w="108" w:type="dxa"/>
        </w:tblCellMar>
      </w:tblPr>
      <w:tblGrid>
        <w:gridCol w:w="1348"/>
        <w:gridCol w:w="850"/>
        <w:gridCol w:w="5810"/>
      </w:tblGrid>
      <w:tr>
        <w:tblPrEx>
          <w:tblCellMar>
            <w:top w:w="0" w:type="dxa"/>
            <w:left w:w="108" w:type="dxa"/>
            <w:bottom w:w="0" w:type="dxa"/>
            <w:right w:w="108" w:type="dxa"/>
          </w:tblCellMar>
        </w:tblPrEx>
        <w:trPr>
          <w:trHeight w:val="663" w:hRule="atLeast"/>
        </w:trPr>
        <w:tc>
          <w:tcPr>
            <w:tcW w:w="1348" w:type="dxa"/>
            <w:tcBorders>
              <w:top w:val="single" w:color="auto" w:sz="6" w:space="0"/>
              <w:left w:val="single" w:color="auto" w:sz="6" w:space="0"/>
              <w:bottom w:val="single" w:color="auto" w:sz="4" w:space="0"/>
              <w:right w:val="single" w:color="auto" w:sz="6" w:space="0"/>
            </w:tcBorders>
            <w:noWrap w:val="0"/>
            <w:vAlign w:val="center"/>
          </w:tcPr>
          <w:p>
            <w:pPr>
              <w:wordWrap w:val="0"/>
              <w:autoSpaceDE w:val="0"/>
              <w:autoSpaceDN w:val="0"/>
              <w:snapToGrid w:val="0"/>
              <w:spacing w:line="360" w:lineRule="auto"/>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auto"/>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auto"/>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179" w:hRule="atLeast"/>
        </w:trPr>
        <w:tc>
          <w:tcPr>
            <w:tcW w:w="1348" w:type="dxa"/>
            <w:tcBorders>
              <w:top w:val="single" w:color="auto" w:sz="4" w:space="0"/>
              <w:left w:val="single" w:color="auto" w:sz="4" w:space="0"/>
              <w:bottom w:val="single" w:color="auto" w:sz="4" w:space="0"/>
              <w:right w:val="single" w:color="auto" w:sz="4" w:space="0"/>
            </w:tcBorders>
            <w:noWrap w:val="0"/>
            <w:vAlign w:val="center"/>
          </w:tcPr>
          <w:p>
            <w:pPr>
              <w:wordWrap w:val="0"/>
              <w:autoSpaceDE w:val="0"/>
              <w:autoSpaceDN w:val="0"/>
              <w:snapToGrid w:val="0"/>
              <w:spacing w:line="360" w:lineRule="auto"/>
              <w:jc w:val="center"/>
              <w:rPr>
                <w:rFonts w:hint="eastAsia" w:ascii="仿宋_GB2312" w:hAnsi="仿宋" w:eastAsia="仿宋_GB2312"/>
                <w:color w:val="000000"/>
                <w:sz w:val="24"/>
                <w:szCs w:val="24"/>
                <w:lang w:val="zh-CN" w:eastAsia="zh-CN"/>
              </w:rPr>
            </w:pPr>
            <w:r>
              <w:rPr>
                <w:rFonts w:hint="eastAsia" w:ascii="仿宋_GB2312" w:hAnsi="宋体" w:eastAsia="仿宋_GB2312"/>
                <w:sz w:val="24"/>
                <w:szCs w:val="24"/>
                <w:lang w:eastAsia="zh-CN"/>
              </w:rPr>
              <w:t>产品性能技术方案</w:t>
            </w:r>
          </w:p>
        </w:tc>
        <w:tc>
          <w:tcPr>
            <w:tcW w:w="850" w:type="dxa"/>
            <w:tcBorders>
              <w:top w:val="single" w:color="auto" w:sz="6" w:space="0"/>
              <w:left w:val="single" w:color="auto" w:sz="4" w:space="0"/>
              <w:bottom w:val="single" w:color="auto" w:sz="6" w:space="0"/>
              <w:right w:val="single" w:color="auto" w:sz="6" w:space="0"/>
            </w:tcBorders>
            <w:noWrap w:val="0"/>
            <w:vAlign w:val="center"/>
          </w:tcPr>
          <w:p>
            <w:pPr>
              <w:wordWrap w:val="0"/>
              <w:autoSpaceDE w:val="0"/>
              <w:autoSpaceDN w:val="0"/>
              <w:snapToGrid w:val="0"/>
              <w:spacing w:line="360" w:lineRule="auto"/>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25</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auto"/>
              <w:rPr>
                <w:rFonts w:hint="eastAsia" w:ascii="仿宋_GB2312" w:hAnsi="仿宋" w:eastAsia="仿宋_GB2312"/>
                <w:sz w:val="24"/>
                <w:szCs w:val="24"/>
              </w:rPr>
            </w:pPr>
            <w:r>
              <w:rPr>
                <w:rFonts w:hint="eastAsia" w:ascii="仿宋_GB2312" w:hAnsi="仿宋" w:eastAsia="仿宋_GB2312"/>
                <w:sz w:val="24"/>
                <w:szCs w:val="24"/>
                <w:lang w:eastAsia="zh-CN"/>
              </w:rPr>
              <w:t>提供产品性能技术方案的，得</w:t>
            </w:r>
            <w:r>
              <w:rPr>
                <w:rFonts w:hint="eastAsia" w:ascii="仿宋_GB2312" w:hAnsi="仿宋" w:eastAsia="仿宋_GB2312"/>
                <w:sz w:val="24"/>
                <w:szCs w:val="24"/>
                <w:lang w:val="en-US" w:eastAsia="zh-CN"/>
              </w:rPr>
              <w:t>4分</w:t>
            </w:r>
            <w:r>
              <w:rPr>
                <w:rFonts w:hint="eastAsia" w:ascii="仿宋_GB2312" w:hAnsi="仿宋" w:eastAsia="仿宋_GB2312"/>
                <w:sz w:val="24"/>
                <w:szCs w:val="24"/>
              </w:rPr>
              <w:t>；</w:t>
            </w:r>
          </w:p>
          <w:p>
            <w:pPr>
              <w:wordWrap w:val="0"/>
              <w:autoSpaceDE w:val="0"/>
              <w:autoSpaceDN w:val="0"/>
              <w:snapToGrid w:val="0"/>
              <w:spacing w:line="360" w:lineRule="auto"/>
              <w:ind w:firstLine="480" w:firstLineChars="200"/>
              <w:rPr>
                <w:rFonts w:hint="eastAsia" w:ascii="仿宋_GB2312" w:hAnsi="仿宋" w:eastAsia="仿宋_GB2312"/>
                <w:sz w:val="24"/>
                <w:szCs w:val="24"/>
                <w:lang w:eastAsia="zh-CN"/>
              </w:rPr>
            </w:pPr>
            <w:r>
              <w:rPr>
                <w:rFonts w:hint="eastAsia" w:ascii="仿宋_GB2312" w:hAnsi="仿宋" w:eastAsia="仿宋_GB2312"/>
                <w:sz w:val="24"/>
                <w:szCs w:val="24"/>
                <w:lang w:eastAsia="zh-CN"/>
              </w:rPr>
              <w:t>产品性能先进、质量可靠且技术成熟、符合招标技术要求全面的，</w:t>
            </w:r>
            <w:r>
              <w:rPr>
                <w:rFonts w:hint="eastAsia" w:ascii="仿宋_GB2312" w:hAnsi="仿宋" w:eastAsia="仿宋_GB2312"/>
                <w:sz w:val="24"/>
                <w:szCs w:val="24"/>
              </w:rPr>
              <w:t>评委根据</w:t>
            </w:r>
            <w:r>
              <w:rPr>
                <w:rFonts w:hint="eastAsia" w:ascii="仿宋_GB2312" w:hAnsi="仿宋" w:eastAsia="仿宋_GB2312"/>
                <w:sz w:val="24"/>
                <w:szCs w:val="24"/>
                <w:lang w:eastAsia="zh-CN"/>
              </w:rPr>
              <w:t>文件</w:t>
            </w:r>
            <w:r>
              <w:rPr>
                <w:rFonts w:hint="eastAsia" w:ascii="仿宋_GB2312" w:hAnsi="仿宋" w:eastAsia="仿宋_GB2312"/>
                <w:sz w:val="24"/>
                <w:szCs w:val="24"/>
              </w:rPr>
              <w:t>情况酌情得0-</w:t>
            </w:r>
            <w:r>
              <w:rPr>
                <w:rFonts w:hint="eastAsia" w:ascii="仿宋_GB2312" w:hAnsi="仿宋" w:eastAsia="仿宋_GB2312"/>
                <w:sz w:val="24"/>
                <w:szCs w:val="24"/>
                <w:lang w:val="en-US" w:eastAsia="zh-CN"/>
              </w:rPr>
              <w:t>20</w:t>
            </w:r>
            <w:r>
              <w:rPr>
                <w:rFonts w:hint="eastAsia" w:ascii="仿宋_GB2312" w:hAnsi="仿宋" w:eastAsia="仿宋_GB2312"/>
                <w:sz w:val="24"/>
                <w:szCs w:val="24"/>
              </w:rPr>
              <w:t>分</w:t>
            </w:r>
            <w:r>
              <w:rPr>
                <w:rFonts w:hint="eastAsia" w:ascii="仿宋_GB2312" w:hAnsi="仿宋" w:eastAsia="仿宋_GB2312"/>
                <w:sz w:val="24"/>
                <w:szCs w:val="24"/>
                <w:lang w:eastAsia="zh-CN"/>
              </w:rPr>
              <w:t>。</w:t>
            </w:r>
          </w:p>
          <w:p>
            <w:pPr>
              <w:wordWrap w:val="0"/>
              <w:autoSpaceDE w:val="0"/>
              <w:autoSpaceDN w:val="0"/>
              <w:snapToGrid w:val="0"/>
              <w:spacing w:line="360" w:lineRule="auto"/>
              <w:rPr>
                <w:rFonts w:hint="eastAsia"/>
                <w:lang w:val="zh-CN" w:eastAsia="zh-CN"/>
              </w:rPr>
            </w:pPr>
            <w:r>
              <w:rPr>
                <w:rFonts w:hint="eastAsia" w:ascii="仿宋_GB2312" w:hAnsi="仿宋" w:eastAsia="仿宋_GB2312"/>
                <w:sz w:val="24"/>
                <w:szCs w:val="24"/>
                <w:lang w:eastAsia="zh-CN"/>
              </w:rPr>
              <w:t>若此条缺项不得分；</w:t>
            </w:r>
          </w:p>
        </w:tc>
      </w:tr>
      <w:tr>
        <w:tblPrEx>
          <w:tblCellMar>
            <w:top w:w="0" w:type="dxa"/>
            <w:left w:w="108" w:type="dxa"/>
            <w:bottom w:w="0" w:type="dxa"/>
            <w:right w:w="108" w:type="dxa"/>
          </w:tblCellMar>
        </w:tblPrEx>
        <w:trPr>
          <w:trHeight w:val="1177" w:hRule="atLeast"/>
        </w:trPr>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lang w:val="zh-CN" w:eastAsia="zh-CN"/>
              </w:rPr>
              <w:t>施工等技术措施</w:t>
            </w:r>
          </w:p>
        </w:tc>
        <w:tc>
          <w:tcPr>
            <w:tcW w:w="850" w:type="dxa"/>
            <w:tcBorders>
              <w:top w:val="single" w:color="auto" w:sz="6" w:space="0"/>
              <w:left w:val="single" w:color="auto" w:sz="4" w:space="0"/>
              <w:bottom w:val="single" w:color="auto" w:sz="6" w:space="0"/>
              <w:right w:val="single" w:color="auto" w:sz="6" w:space="0"/>
            </w:tcBorders>
            <w:noWrap w:val="0"/>
            <w:vAlign w:val="center"/>
          </w:tcPr>
          <w:p>
            <w:pPr>
              <w:spacing w:line="360" w:lineRule="auto"/>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3</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autoSpaceDE/>
              <w:autoSpaceDN/>
              <w:snapToGrid/>
              <w:spacing w:line="360" w:lineRule="auto"/>
              <w:rPr>
                <w:rFonts w:hint="eastAsia" w:ascii="仿宋_GB2312" w:hAnsi="仿宋" w:eastAsia="仿宋_GB2312"/>
                <w:sz w:val="24"/>
                <w:szCs w:val="24"/>
                <w:lang w:val="en-US" w:eastAsia="zh-CN"/>
              </w:rPr>
            </w:pPr>
            <w:r>
              <w:rPr>
                <w:rFonts w:hint="eastAsia" w:ascii="仿宋_GB2312" w:hAnsi="仿宋" w:eastAsia="仿宋_GB2312"/>
                <w:sz w:val="24"/>
                <w:szCs w:val="24"/>
                <w:lang w:eastAsia="zh-CN"/>
              </w:rPr>
              <w:t>提供施工方案的，得</w:t>
            </w:r>
            <w:r>
              <w:rPr>
                <w:rFonts w:hint="eastAsia" w:ascii="仿宋_GB2312" w:hAnsi="仿宋" w:eastAsia="仿宋_GB2312"/>
                <w:sz w:val="24"/>
                <w:szCs w:val="24"/>
                <w:lang w:val="en-US" w:eastAsia="zh-CN"/>
              </w:rPr>
              <w:t>1分；</w:t>
            </w:r>
          </w:p>
          <w:p>
            <w:pPr>
              <w:spacing w:line="360" w:lineRule="auto"/>
              <w:ind w:firstLine="480" w:firstLineChars="200"/>
              <w:rPr>
                <w:rFonts w:hint="eastAsia" w:ascii="仿宋_GB2312" w:hAnsi="仿宋" w:eastAsia="仿宋_GB2312"/>
                <w:sz w:val="24"/>
                <w:szCs w:val="24"/>
                <w:lang w:eastAsia="zh-CN"/>
              </w:rPr>
            </w:pPr>
            <w:r>
              <w:rPr>
                <w:rFonts w:ascii="仿宋_GB2312" w:hAnsi="Adobe 仿宋 Std R" w:eastAsia="仿宋_GB2312"/>
                <w:sz w:val="24"/>
                <w:szCs w:val="24"/>
                <w:lang w:val="zh-CN"/>
              </w:rPr>
              <w:t>指导安装和调试等主要技术保障措施、人员培训</w:t>
            </w:r>
            <w:r>
              <w:rPr>
                <w:rFonts w:hint="eastAsia" w:ascii="仿宋_GB2312" w:hAnsi="Adobe 仿宋 Std R" w:eastAsia="仿宋_GB2312"/>
                <w:sz w:val="24"/>
                <w:szCs w:val="24"/>
                <w:lang w:val="zh-CN"/>
              </w:rPr>
              <w:t>计划等</w:t>
            </w:r>
            <w:r>
              <w:rPr>
                <w:rFonts w:hint="eastAsia" w:ascii="仿宋_GB2312" w:hAnsi="仿宋" w:eastAsia="仿宋_GB2312"/>
                <w:sz w:val="24"/>
                <w:szCs w:val="24"/>
                <w:lang w:eastAsia="zh-CN"/>
              </w:rPr>
              <w:t>方案全面、合理的，</w:t>
            </w:r>
            <w:r>
              <w:rPr>
                <w:rFonts w:hint="eastAsia" w:ascii="仿宋_GB2312" w:hAnsi="仿宋" w:eastAsia="仿宋_GB2312"/>
                <w:sz w:val="24"/>
                <w:szCs w:val="24"/>
              </w:rPr>
              <w:t>评委根据</w:t>
            </w:r>
            <w:r>
              <w:rPr>
                <w:rFonts w:hint="eastAsia" w:ascii="仿宋_GB2312" w:hAnsi="仿宋" w:eastAsia="仿宋_GB2312"/>
                <w:sz w:val="24"/>
                <w:szCs w:val="24"/>
                <w:lang w:eastAsia="zh-CN"/>
              </w:rPr>
              <w:t>文件</w:t>
            </w:r>
            <w:r>
              <w:rPr>
                <w:rFonts w:hint="eastAsia" w:ascii="仿宋_GB2312" w:hAnsi="仿宋" w:eastAsia="仿宋_GB2312"/>
                <w:sz w:val="24"/>
                <w:szCs w:val="24"/>
              </w:rPr>
              <w:t>情况酌情得0-</w:t>
            </w:r>
            <w:r>
              <w:rPr>
                <w:rFonts w:hint="eastAsia" w:ascii="仿宋_GB2312" w:hAnsi="仿宋" w:eastAsia="仿宋_GB2312"/>
                <w:sz w:val="24"/>
                <w:szCs w:val="24"/>
                <w:lang w:val="en-US" w:eastAsia="zh-CN"/>
              </w:rPr>
              <w:t>2</w:t>
            </w:r>
            <w:r>
              <w:rPr>
                <w:rFonts w:hint="eastAsia" w:ascii="仿宋_GB2312" w:hAnsi="仿宋" w:eastAsia="仿宋_GB2312"/>
                <w:sz w:val="24"/>
                <w:szCs w:val="24"/>
              </w:rPr>
              <w:t>分</w:t>
            </w:r>
            <w:r>
              <w:rPr>
                <w:rFonts w:hint="eastAsia" w:ascii="仿宋_GB2312" w:hAnsi="仿宋" w:eastAsia="仿宋_GB2312"/>
                <w:sz w:val="24"/>
                <w:szCs w:val="24"/>
                <w:lang w:eastAsia="zh-CN"/>
              </w:rPr>
              <w:t>。</w:t>
            </w:r>
          </w:p>
          <w:p>
            <w:pPr>
              <w:spacing w:line="360" w:lineRule="auto"/>
            </w:pPr>
            <w:r>
              <w:rPr>
                <w:rFonts w:hint="eastAsia" w:ascii="仿宋_GB2312" w:hAnsi="宋体" w:eastAsia="仿宋_GB2312"/>
                <w:sz w:val="24"/>
                <w:szCs w:val="24"/>
                <w:lang w:eastAsia="zh-CN"/>
              </w:rPr>
              <w:t>若此条缺项不得分。</w:t>
            </w:r>
          </w:p>
        </w:tc>
      </w:tr>
    </w:tbl>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五、中标人的确定</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六、评标纪律</w:t>
      </w:r>
    </w:p>
    <w:p>
      <w:pPr>
        <w:spacing w:line="360" w:lineRule="auto"/>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10"/>
          <w:sz w:val="32"/>
          <w:szCs w:val="32"/>
        </w:rPr>
        <w:t>评标是招标工作的重要环节，评标工作在评标委员会内独立进行。评标</w:t>
      </w:r>
      <w:r>
        <w:rPr>
          <w:rFonts w:hint="eastAsia" w:ascii="仿宋_GB2312" w:hAnsi="Times New Roman" w:eastAsia="仿宋_GB2312" w:cs="Times New Roman"/>
          <w:spacing w:val="-4"/>
          <w:sz w:val="32"/>
          <w:szCs w:val="32"/>
        </w:rPr>
        <w:t>委员会将按照评标原则的要求，公正、平等地对待所有供应商。</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（二）所有评标人员应忠于职守、廉洁自律、秉公办事、不徇私情。</w:t>
      </w:r>
    </w:p>
    <w:p>
      <w:pPr>
        <w:spacing w:line="360" w:lineRule="auto"/>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（三）</w:t>
      </w:r>
      <w:r>
        <w:rPr>
          <w:rFonts w:hint="eastAsia" w:ascii="仿宋_GB2312" w:hAnsi="Times New Roman" w:eastAsia="仿宋_GB2312" w:cs="Times New Roman"/>
          <w:spacing w:val="-10"/>
          <w:sz w:val="32"/>
          <w:szCs w:val="32"/>
        </w:rPr>
        <w:t>评标人员不得接受或参加供应商或与投标有关的单位、组织或个人的有</w:t>
      </w:r>
      <w:r>
        <w:rPr>
          <w:rFonts w:hint="eastAsia" w:ascii="仿宋_GB2312" w:hAnsi="Times New Roman" w:eastAsia="仿宋_GB2312" w:cs="Times New Roman"/>
          <w:spacing w:val="-4"/>
          <w:sz w:val="32"/>
          <w:szCs w:val="32"/>
        </w:rPr>
        <w:t>碍公务的宴请、娱乐活动等，不得以任何形式弄虚作假。</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（四）评标期间，评委不得随意与外界通讯、会客等。</w:t>
      </w:r>
    </w:p>
    <w:p>
      <w:pPr>
        <w:spacing w:line="360" w:lineRule="auto"/>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（五）</w:t>
      </w:r>
      <w:r>
        <w:rPr>
          <w:rFonts w:hint="eastAsia" w:ascii="仿宋_GB2312" w:hAnsi="Times New Roman" w:eastAsia="仿宋_GB2312" w:cs="Times New Roman"/>
          <w:spacing w:val="-11"/>
          <w:sz w:val="32"/>
          <w:szCs w:val="32"/>
        </w:rPr>
        <w:t>在投标文件的审查、澄清、评价和比较以及授予合同的过程中，供应商</w:t>
      </w:r>
      <w:r>
        <w:rPr>
          <w:rFonts w:hint="eastAsia" w:ascii="仿宋_GB2312" w:hAnsi="Times New Roman" w:eastAsia="仿宋_GB2312" w:cs="Times New Roman"/>
          <w:spacing w:val="-5"/>
          <w:sz w:val="32"/>
          <w:szCs w:val="32"/>
        </w:rPr>
        <w:t>对采购人及评标委员会其他成员施加影响的任何行为，都将导致被取消投标资格。</w:t>
      </w:r>
    </w:p>
    <w:p>
      <w:pPr>
        <w:spacing w:line="360" w:lineRule="auto"/>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（六）</w:t>
      </w:r>
      <w:r>
        <w:rPr>
          <w:rFonts w:hint="eastAsia" w:ascii="仿宋_GB2312" w:hAnsi="Times New Roman" w:eastAsia="仿宋_GB2312" w:cs="Times New Roman"/>
          <w:spacing w:val="-12"/>
          <w:sz w:val="32"/>
          <w:szCs w:val="32"/>
        </w:rPr>
        <w:t>为保证定标的公正性，在评标过程中，评委不得与供应商或招标结果有</w:t>
      </w:r>
      <w:r>
        <w:rPr>
          <w:rFonts w:hint="eastAsia" w:ascii="仿宋_GB2312" w:hAnsi="Times New Roman" w:eastAsia="仿宋_GB2312" w:cs="Times New Roman"/>
          <w:spacing w:val="-5"/>
          <w:sz w:val="32"/>
          <w:szCs w:val="32"/>
        </w:rPr>
        <w:t>利害关系的人进行私下接触。在评标工作结束后，凡与评标情况有接触的任何</w:t>
      </w:r>
      <w:r>
        <w:rPr>
          <w:rFonts w:hint="eastAsia" w:ascii="仿宋_GB2312" w:hAnsi="Times New Roman" w:eastAsia="仿宋_GB2312" w:cs="Times New Roman"/>
          <w:spacing w:val="-3"/>
          <w:sz w:val="32"/>
          <w:szCs w:val="32"/>
        </w:rPr>
        <w:t>人，不得将评标情况扩散出评标委员会以外。</w:t>
      </w:r>
    </w:p>
    <w:p>
      <w:pPr>
        <w:spacing w:line="360" w:lineRule="auto"/>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（七）</w:t>
      </w:r>
      <w:r>
        <w:rPr>
          <w:rFonts w:hint="eastAsia" w:ascii="仿宋_GB2312" w:hAnsi="Times New Roman" w:eastAsia="仿宋_GB2312" w:cs="Times New Roman"/>
          <w:spacing w:val="-11"/>
          <w:sz w:val="32"/>
          <w:szCs w:val="32"/>
        </w:rPr>
        <w:t>评标结束后，各评标人员应将全部资料整理上交采购人，严禁将评标过</w:t>
      </w:r>
      <w:r>
        <w:rPr>
          <w:rFonts w:hint="eastAsia" w:ascii="仿宋_GB2312" w:hAnsi="Times New Roman" w:eastAsia="仿宋_GB2312" w:cs="Times New Roman"/>
          <w:spacing w:val="-5"/>
          <w:sz w:val="32"/>
          <w:szCs w:val="32"/>
        </w:rPr>
        <w:t>程中的任何资料带出评标现场向供应商或其他单位提供。</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（八）评标委员会对各供应商的商业秘密予以保密。</w:t>
      </w:r>
    </w:p>
    <w:p>
      <w:pPr>
        <w:spacing w:line="360" w:lineRule="auto"/>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（九）</w:t>
      </w:r>
      <w:r>
        <w:rPr>
          <w:rFonts w:hint="eastAsia" w:ascii="仿宋_GB2312" w:hAnsi="Times New Roman" w:eastAsia="仿宋_GB2312" w:cs="Times New Roman"/>
          <w:spacing w:val="-10"/>
          <w:sz w:val="32"/>
          <w:szCs w:val="32"/>
        </w:rPr>
        <w:t>评标委员会成员应当客观、公正地履行职责，遵守职业道德，对所提出</w:t>
      </w:r>
      <w:r>
        <w:rPr>
          <w:rFonts w:hint="eastAsia" w:ascii="仿宋_GB2312" w:hAnsi="Times New Roman" w:eastAsia="仿宋_GB2312" w:cs="Times New Roman"/>
          <w:spacing w:val="-4"/>
          <w:sz w:val="32"/>
          <w:szCs w:val="32"/>
        </w:rPr>
        <w:t>的评审意见承担个人责任。</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（十）在整个评标过程中，供应商企图影响招标结果的任何活动，可能导致投标失败。如有违法行为，将依法追究其法律责任。</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七、中标通知书</w:t>
      </w:r>
    </w:p>
    <w:p>
      <w:pPr>
        <w:spacing w:line="360" w:lineRule="auto"/>
        <w:ind w:firstLine="572" w:firstLineChars="200"/>
        <w:rPr>
          <w:rFonts w:hint="eastAsia" w:ascii="仿宋_GB2312" w:hAnsi="Times New Roman" w:eastAsia="仿宋_GB2312" w:cs="Times New Roman"/>
          <w:spacing w:val="-17"/>
          <w:sz w:val="32"/>
          <w:szCs w:val="32"/>
        </w:rPr>
      </w:pPr>
      <w:r>
        <w:rPr>
          <w:rFonts w:hint="eastAsia" w:ascii="仿宋_GB2312" w:hAnsi="Times New Roman" w:eastAsia="仿宋_GB2312" w:cs="Times New Roman"/>
          <w:spacing w:val="-17"/>
          <w:sz w:val="32"/>
          <w:szCs w:val="32"/>
        </w:rPr>
        <w:t>评标结束并确定中标结果后，向中标人签发《中标通知书》。</w:t>
      </w:r>
      <w:bookmarkStart w:id="9" w:name="第五部分___授予合同"/>
      <w:bookmarkEnd w:id="9"/>
      <w:bookmarkStart w:id="10" w:name="_bookmark4"/>
      <w:bookmarkEnd w:id="10"/>
    </w:p>
    <w:p>
      <w:pPr>
        <w:pStyle w:val="2"/>
        <w:spacing w:line="360" w:lineRule="auto"/>
        <w:rPr>
          <w:rFonts w:hint="eastAsia" w:ascii="仿宋_GB2312" w:hAnsi="Times New Roman" w:eastAsia="仿宋_GB2312" w:cs="Times New Roman"/>
          <w:spacing w:val="-17"/>
          <w:sz w:val="32"/>
          <w:szCs w:val="32"/>
        </w:rPr>
      </w:pPr>
    </w:p>
    <w:p>
      <w:pPr>
        <w:pStyle w:val="2"/>
        <w:spacing w:line="360" w:lineRule="auto"/>
        <w:rPr>
          <w:rFonts w:hint="eastAsia" w:ascii="仿宋_GB2312" w:hAnsi="Times New Roman" w:eastAsia="仿宋_GB2312" w:cs="Times New Roman"/>
          <w:spacing w:val="-17"/>
          <w:sz w:val="32"/>
          <w:szCs w:val="32"/>
        </w:rPr>
      </w:pPr>
    </w:p>
    <w:p>
      <w:pPr>
        <w:pStyle w:val="2"/>
        <w:spacing w:line="360" w:lineRule="auto"/>
        <w:rPr>
          <w:rFonts w:hint="eastAsia" w:ascii="仿宋_GB2312" w:hAnsi="Times New Roman" w:eastAsia="仿宋_GB2312" w:cs="Times New Roman"/>
          <w:spacing w:val="-17"/>
          <w:sz w:val="32"/>
          <w:szCs w:val="32"/>
        </w:rPr>
      </w:pPr>
    </w:p>
    <w:p>
      <w:pPr>
        <w:pStyle w:val="2"/>
        <w:spacing w:line="360" w:lineRule="auto"/>
        <w:rPr>
          <w:rFonts w:hint="eastAsia" w:ascii="仿宋_GB2312" w:hAnsi="Times New Roman" w:eastAsia="仿宋_GB2312" w:cs="Times New Roman"/>
          <w:spacing w:val="-17"/>
          <w:sz w:val="32"/>
          <w:szCs w:val="32"/>
        </w:rPr>
      </w:pPr>
    </w:p>
    <w:p>
      <w:pPr>
        <w:pStyle w:val="2"/>
        <w:spacing w:line="360" w:lineRule="auto"/>
        <w:rPr>
          <w:rFonts w:hint="eastAsia" w:ascii="仿宋_GB2312" w:hAnsi="Times New Roman" w:eastAsia="仿宋_GB2312" w:cs="Times New Roman"/>
          <w:spacing w:val="-17"/>
          <w:sz w:val="32"/>
          <w:szCs w:val="32"/>
        </w:rPr>
      </w:pPr>
    </w:p>
    <w:p>
      <w:pPr>
        <w:pStyle w:val="2"/>
        <w:spacing w:line="360" w:lineRule="auto"/>
        <w:rPr>
          <w:rFonts w:hint="eastAsia" w:ascii="仿宋_GB2312" w:hAnsi="Times New Roman" w:eastAsia="仿宋_GB2312" w:cs="Times New Roman"/>
          <w:spacing w:val="-17"/>
          <w:sz w:val="32"/>
          <w:szCs w:val="32"/>
        </w:rPr>
      </w:pPr>
    </w:p>
    <w:p>
      <w:pPr>
        <w:pStyle w:val="2"/>
        <w:spacing w:line="360" w:lineRule="auto"/>
        <w:rPr>
          <w:rFonts w:hint="eastAsia" w:ascii="仿宋_GB2312" w:hAnsi="Times New Roman" w:eastAsia="仿宋_GB2312" w:cs="Times New Roman"/>
          <w:spacing w:val="-17"/>
          <w:sz w:val="32"/>
          <w:szCs w:val="32"/>
        </w:rPr>
      </w:pPr>
    </w:p>
    <w:p>
      <w:pPr>
        <w:pStyle w:val="2"/>
        <w:spacing w:line="360" w:lineRule="auto"/>
        <w:rPr>
          <w:rFonts w:hint="eastAsia" w:ascii="仿宋_GB2312" w:hAnsi="Times New Roman" w:eastAsia="仿宋_GB2312" w:cs="Times New Roman"/>
          <w:spacing w:val="-17"/>
          <w:sz w:val="32"/>
          <w:szCs w:val="32"/>
        </w:rPr>
      </w:pPr>
    </w:p>
    <w:p>
      <w:pPr>
        <w:pStyle w:val="2"/>
        <w:spacing w:line="360" w:lineRule="auto"/>
        <w:rPr>
          <w:rFonts w:hint="eastAsia" w:ascii="仿宋_GB2312" w:hAnsi="Times New Roman" w:eastAsia="仿宋_GB2312" w:cs="Times New Roman"/>
          <w:spacing w:val="-17"/>
          <w:sz w:val="32"/>
          <w:szCs w:val="32"/>
        </w:rPr>
      </w:pPr>
    </w:p>
    <w:p>
      <w:pPr>
        <w:pStyle w:val="2"/>
        <w:spacing w:line="360" w:lineRule="auto"/>
        <w:rPr>
          <w:rFonts w:hint="eastAsia" w:ascii="仿宋_GB2312" w:hAnsi="Times New Roman" w:eastAsia="仿宋_GB2312" w:cs="Times New Roman"/>
          <w:spacing w:val="-17"/>
          <w:sz w:val="32"/>
          <w:szCs w:val="32"/>
        </w:rPr>
      </w:pPr>
    </w:p>
    <w:p>
      <w:pPr>
        <w:pStyle w:val="2"/>
        <w:spacing w:line="360" w:lineRule="auto"/>
        <w:ind w:left="0" w:leftChars="0" w:firstLine="0" w:firstLineChars="0"/>
        <w:rPr>
          <w:rFonts w:hint="eastAsia" w:ascii="仿宋_GB2312" w:hAnsi="Times New Roman" w:eastAsia="仿宋_GB2312" w:cs="Times New Roman"/>
          <w:spacing w:val="-17"/>
          <w:sz w:val="32"/>
          <w:szCs w:val="32"/>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表一</w:t>
      </w:r>
      <w:r>
        <w:rPr>
          <w:rFonts w:ascii="仿宋_GB2312" w:hAnsi="仿宋" w:eastAsia="仿宋_GB2312"/>
          <w:sz w:val="24"/>
          <w:lang w:val="zh-CN"/>
        </w:rPr>
        <w:t xml:space="preserve">： </w:t>
      </w:r>
    </w:p>
    <w:tbl>
      <w:tblPr>
        <w:tblStyle w:val="18"/>
        <w:tblpPr w:leftFromText="180" w:rightFromText="180" w:vertAnchor="text" w:horzAnchor="page" w:tblpX="1690" w:tblpY="230"/>
        <w:tblOverlap w:val="never"/>
        <w:tblW w:w="8641" w:type="dxa"/>
        <w:tblInd w:w="0" w:type="dxa"/>
        <w:shd w:val="clear" w:color="auto" w:fill="auto"/>
        <w:tblLayout w:type="fixed"/>
        <w:tblCellMar>
          <w:top w:w="0" w:type="dxa"/>
          <w:left w:w="108" w:type="dxa"/>
          <w:bottom w:w="0" w:type="dxa"/>
          <w:right w:w="108" w:type="dxa"/>
        </w:tblCellMar>
      </w:tblPr>
      <w:tblGrid>
        <w:gridCol w:w="622"/>
        <w:gridCol w:w="2340"/>
        <w:gridCol w:w="1955"/>
        <w:gridCol w:w="548"/>
        <w:gridCol w:w="1097"/>
        <w:gridCol w:w="1106"/>
        <w:gridCol w:w="973"/>
      </w:tblGrid>
      <w:tr>
        <w:tblPrEx>
          <w:shd w:val="clear" w:color="auto" w:fill="auto"/>
          <w:tblCellMar>
            <w:top w:w="0" w:type="dxa"/>
            <w:left w:w="108" w:type="dxa"/>
            <w:bottom w:w="0" w:type="dxa"/>
            <w:right w:w="108" w:type="dxa"/>
          </w:tblCellMar>
        </w:tblPrEx>
        <w:trPr>
          <w:trHeight w:val="474" w:hRule="atLeast"/>
        </w:trPr>
        <w:tc>
          <w:tcPr>
            <w:tcW w:w="8641" w:type="dxa"/>
            <w:gridSpan w:val="7"/>
            <w:vMerge w:val="restart"/>
            <w:tcBorders>
              <w:top w:val="nil"/>
              <w:left w:val="nil"/>
              <w:bottom w:val="single" w:color="000000" w:sz="4" w:space="0"/>
              <w:right w:val="nil"/>
            </w:tcBorders>
            <w:shd w:val="clear" w:color="auto" w:fill="auto"/>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000000"/>
                <w:sz w:val="36"/>
                <w:szCs w:val="36"/>
                <w:u w:val="none"/>
              </w:rPr>
            </w:pPr>
            <w:r>
              <w:rPr>
                <w:rFonts w:hint="eastAsia" w:ascii="仿宋" w:hAnsi="仿宋" w:eastAsia="仿宋" w:cs="仿宋"/>
                <w:i w:val="0"/>
                <w:iCs w:val="0"/>
                <w:color w:val="000000"/>
                <w:kern w:val="0"/>
                <w:sz w:val="32"/>
                <w:szCs w:val="32"/>
                <w:u w:val="none"/>
                <w:lang w:val="zh-CN" w:eastAsia="zh-CN" w:bidi="ar"/>
              </w:rPr>
              <w:t>山东东岳盐业有限公司</w:t>
            </w:r>
            <w:r>
              <w:rPr>
                <w:rFonts w:hint="eastAsia" w:ascii="仿宋" w:hAnsi="仿宋" w:eastAsia="仿宋" w:cs="仿宋"/>
                <w:i w:val="0"/>
                <w:iCs w:val="0"/>
                <w:kern w:val="2"/>
                <w:sz w:val="28"/>
                <w:szCs w:val="28"/>
                <w:u w:val="none"/>
                <w:lang w:val="zh-CN" w:eastAsia="zh-CN" w:bidi="ar"/>
              </w:rPr>
              <w:br w:type="textWrapping"/>
            </w:r>
            <w:r>
              <w:rPr>
                <w:rFonts w:hint="eastAsia" w:ascii="仿宋" w:hAnsi="仿宋" w:eastAsia="仿宋" w:cs="仿宋"/>
                <w:i w:val="0"/>
                <w:iCs w:val="0"/>
                <w:kern w:val="2"/>
                <w:sz w:val="28"/>
                <w:szCs w:val="28"/>
                <w:u w:val="none"/>
                <w:lang w:val="zh-CN" w:eastAsia="zh-CN" w:bidi="ar"/>
              </w:rPr>
              <w:t>空水冷设备采购项目</w:t>
            </w:r>
            <w:r>
              <w:rPr>
                <w:rFonts w:hint="eastAsia" w:ascii="仿宋" w:hAnsi="仿宋" w:eastAsia="仿宋" w:cs="仿宋"/>
                <w:sz w:val="28"/>
                <w:szCs w:val="28"/>
                <w:lang w:val="zh-CN" w:eastAsia="zh-CN"/>
              </w:rPr>
              <w:t>报价单</w:t>
            </w:r>
          </w:p>
        </w:tc>
      </w:tr>
      <w:tr>
        <w:tblPrEx>
          <w:tblCellMar>
            <w:top w:w="0" w:type="dxa"/>
            <w:left w:w="108" w:type="dxa"/>
            <w:bottom w:w="0" w:type="dxa"/>
            <w:right w:w="108" w:type="dxa"/>
          </w:tblCellMar>
        </w:tblPrEx>
        <w:trPr>
          <w:trHeight w:val="484" w:hRule="atLeast"/>
        </w:trPr>
        <w:tc>
          <w:tcPr>
            <w:tcW w:w="8641" w:type="dxa"/>
            <w:gridSpan w:val="7"/>
            <w:vMerge w:val="continue"/>
            <w:tcBorders>
              <w:top w:val="nil"/>
              <w:left w:val="nil"/>
              <w:bottom w:val="single" w:color="000000" w:sz="4" w:space="0"/>
              <w:right w:val="nil"/>
            </w:tcBorders>
            <w:shd w:val="clear" w:color="auto" w:fill="auto"/>
            <w:vAlign w:val="center"/>
          </w:tcPr>
          <w:p>
            <w:pPr>
              <w:spacing w:line="360" w:lineRule="auto"/>
              <w:jc w:val="center"/>
              <w:rPr>
                <w:rFonts w:hint="eastAsia" w:ascii="仿宋" w:hAnsi="仿宋" w:eastAsia="仿宋" w:cs="仿宋"/>
                <w:i w:val="0"/>
                <w:iCs w:val="0"/>
                <w:color w:val="000000"/>
                <w:sz w:val="36"/>
                <w:szCs w:val="36"/>
                <w:u w:val="none"/>
              </w:rPr>
            </w:pPr>
          </w:p>
        </w:tc>
      </w:tr>
      <w:tr>
        <w:tblPrEx>
          <w:tblCellMar>
            <w:top w:w="0" w:type="dxa"/>
            <w:left w:w="108" w:type="dxa"/>
            <w:bottom w:w="0" w:type="dxa"/>
            <w:right w:w="108" w:type="dxa"/>
          </w:tblCellMar>
        </w:tblPrEx>
        <w:trPr>
          <w:trHeight w:val="312" w:hRule="atLeast"/>
        </w:trPr>
        <w:tc>
          <w:tcPr>
            <w:tcW w:w="8641" w:type="dxa"/>
            <w:gridSpan w:val="7"/>
            <w:vMerge w:val="continue"/>
            <w:tcBorders>
              <w:top w:val="nil"/>
              <w:left w:val="nil"/>
              <w:bottom w:val="single" w:color="000000" w:sz="4" w:space="0"/>
              <w:right w:val="nil"/>
            </w:tcBorders>
            <w:shd w:val="clear" w:color="auto" w:fill="auto"/>
            <w:vAlign w:val="center"/>
          </w:tcPr>
          <w:p>
            <w:pPr>
              <w:spacing w:line="360" w:lineRule="auto"/>
              <w:jc w:val="center"/>
              <w:rPr>
                <w:rFonts w:hint="eastAsia" w:ascii="仿宋" w:hAnsi="仿宋" w:eastAsia="仿宋" w:cs="仿宋"/>
                <w:i w:val="0"/>
                <w:iCs w:val="0"/>
                <w:color w:val="000000"/>
                <w:sz w:val="36"/>
                <w:szCs w:val="36"/>
                <w:u w:val="none"/>
              </w:rPr>
            </w:pPr>
          </w:p>
        </w:tc>
      </w:tr>
      <w:tr>
        <w:tblPrEx>
          <w:tblCellMar>
            <w:top w:w="0" w:type="dxa"/>
            <w:left w:w="108" w:type="dxa"/>
            <w:bottom w:w="0" w:type="dxa"/>
            <w:right w:w="108" w:type="dxa"/>
          </w:tblCellMar>
        </w:tblPrEx>
        <w:trPr>
          <w:trHeight w:val="484" w:hRule="atLeast"/>
        </w:trPr>
        <w:tc>
          <w:tcPr>
            <w:tcW w:w="2962"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报价单位：</w:t>
            </w:r>
          </w:p>
        </w:tc>
        <w:tc>
          <w:tcPr>
            <w:tcW w:w="567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312" w:hRule="atLeast"/>
        </w:trPr>
        <w:tc>
          <w:tcPr>
            <w:tcW w:w="2962"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567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484" w:hRule="atLeast"/>
        </w:trPr>
        <w:tc>
          <w:tcPr>
            <w:tcW w:w="29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56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kern w:val="2"/>
                <w:sz w:val="28"/>
                <w:szCs w:val="28"/>
                <w:u w:val="none"/>
                <w:lang w:val="zh-CN" w:eastAsia="zh-CN" w:bidi="ar"/>
              </w:rPr>
              <w:t>空水冷设备采购项目</w:t>
            </w:r>
          </w:p>
        </w:tc>
      </w:tr>
      <w:tr>
        <w:tblPrEx>
          <w:tblCellMar>
            <w:top w:w="0" w:type="dxa"/>
            <w:left w:w="108" w:type="dxa"/>
            <w:bottom w:w="0" w:type="dxa"/>
            <w:right w:w="108" w:type="dxa"/>
          </w:tblCellMar>
        </w:tblPrEx>
        <w:trPr>
          <w:trHeight w:val="312" w:hRule="atLeast"/>
        </w:trPr>
        <w:tc>
          <w:tcPr>
            <w:tcW w:w="2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56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r>
      <w:tr>
        <w:tblPrEx>
          <w:tblCellMar>
            <w:top w:w="0" w:type="dxa"/>
            <w:left w:w="108" w:type="dxa"/>
            <w:bottom w:w="0" w:type="dxa"/>
            <w:right w:w="108" w:type="dxa"/>
          </w:tblCellMar>
        </w:tblPrEx>
        <w:trPr>
          <w:trHeight w:val="484" w:hRule="atLeast"/>
        </w:trPr>
        <w:tc>
          <w:tcPr>
            <w:tcW w:w="864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报价内容</w:t>
            </w:r>
          </w:p>
        </w:tc>
      </w:tr>
      <w:tr>
        <w:tblPrEx>
          <w:tblCellMar>
            <w:top w:w="0" w:type="dxa"/>
            <w:left w:w="108" w:type="dxa"/>
            <w:bottom w:w="0" w:type="dxa"/>
            <w:right w:w="108" w:type="dxa"/>
          </w:tblCellMar>
        </w:tblPrEx>
        <w:trPr>
          <w:trHeight w:val="312" w:hRule="atLeast"/>
        </w:trPr>
        <w:tc>
          <w:tcPr>
            <w:tcW w:w="8641" w:type="dxa"/>
            <w:gridSpan w:val="7"/>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32"/>
                <w:szCs w:val="32"/>
                <w:u w:val="none"/>
              </w:rPr>
            </w:pPr>
          </w:p>
        </w:tc>
      </w:tr>
      <w:tr>
        <w:tblPrEx>
          <w:tblCellMar>
            <w:top w:w="0" w:type="dxa"/>
            <w:left w:w="108" w:type="dxa"/>
            <w:bottom w:w="0" w:type="dxa"/>
            <w:right w:w="108" w:type="dxa"/>
          </w:tblCellMar>
        </w:tblPrEx>
        <w:trPr>
          <w:trHeight w:val="1248" w:hRule="atLeast"/>
        </w:trPr>
        <w:tc>
          <w:tcPr>
            <w:tcW w:w="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报价设备项目</w:t>
            </w:r>
          </w:p>
        </w:tc>
        <w:tc>
          <w:tcPr>
            <w:tcW w:w="1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报价分项</w:t>
            </w:r>
          </w:p>
          <w:p>
            <w:pPr>
              <w:keepNext w:val="0"/>
              <w:keepLines w:val="0"/>
              <w:widowControl/>
              <w:suppressLineNumbers w:val="0"/>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设备项目</w:t>
            </w:r>
          </w:p>
        </w:tc>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数量</w:t>
            </w:r>
          </w:p>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0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报价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单价</w:t>
            </w:r>
          </w:p>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（万元)</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报价</w:t>
            </w:r>
          </w:p>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（万元）</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供货期（天）</w:t>
            </w:r>
          </w:p>
        </w:tc>
      </w:tr>
      <w:tr>
        <w:tblPrEx>
          <w:tblCellMar>
            <w:top w:w="0" w:type="dxa"/>
            <w:left w:w="108" w:type="dxa"/>
            <w:bottom w:w="0" w:type="dxa"/>
            <w:right w:w="108" w:type="dxa"/>
          </w:tblCellMar>
        </w:tblPrEx>
        <w:trPr>
          <w:trHeight w:val="667" w:hRule="atLeast"/>
        </w:trPr>
        <w:tc>
          <w:tcPr>
            <w:tcW w:w="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空水冷装置本体</w:t>
            </w:r>
          </w:p>
        </w:tc>
        <w:tc>
          <w:tcPr>
            <w:tcW w:w="195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hint="eastAsia" w:ascii="仿宋_GB2312" w:hAnsi="仿宋_GB2312" w:eastAsia="仿宋_GB2312" w:cs="仿宋_GB2312"/>
                <w:kern w:val="0"/>
                <w:sz w:val="24"/>
              </w:rPr>
            </w:pP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i w:val="0"/>
                <w:iCs w:val="0"/>
                <w:color w:val="000000"/>
                <w:sz w:val="24"/>
                <w:szCs w:val="24"/>
                <w:u w:val="none"/>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i w:val="0"/>
                <w:iCs w:val="0"/>
                <w:color w:val="000000"/>
                <w:sz w:val="24"/>
                <w:szCs w:val="24"/>
                <w:u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left" w:pos="531"/>
              </w:tabs>
              <w:spacing w:line="360" w:lineRule="auto"/>
              <w:jc w:val="left"/>
              <w:rPr>
                <w:rFonts w:hint="eastAsia" w:ascii="仿宋" w:hAnsi="仿宋" w:eastAsia="仿宋" w:cs="仿宋"/>
                <w:i w:val="0"/>
                <w:iCs w:val="0"/>
                <w:color w:val="000000"/>
                <w:sz w:val="24"/>
                <w:szCs w:val="24"/>
                <w:u w:val="none"/>
                <w:lang w:eastAsia="zh-CN"/>
              </w:rPr>
            </w:pPr>
          </w:p>
        </w:tc>
      </w:tr>
      <w:tr>
        <w:tblPrEx>
          <w:tblCellMar>
            <w:top w:w="0" w:type="dxa"/>
            <w:left w:w="108" w:type="dxa"/>
            <w:bottom w:w="0" w:type="dxa"/>
            <w:right w:w="108" w:type="dxa"/>
          </w:tblCellMar>
        </w:tblPrEx>
        <w:trPr>
          <w:trHeight w:val="530" w:hRule="atLeast"/>
        </w:trPr>
        <w:tc>
          <w:tcPr>
            <w:tcW w:w="622"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p>
        </w:tc>
        <w:tc>
          <w:tcPr>
            <w:tcW w:w="2340"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hint="eastAsia" w:ascii="仿宋_GB2312" w:hAnsi="仿宋_GB2312" w:eastAsia="仿宋_GB2312" w:cs="仿宋_GB2312"/>
                <w:kern w:val="10"/>
                <w:sz w:val="21"/>
                <w:szCs w:val="21"/>
                <w:lang w:val="en-US" w:eastAsia="zh-CN" w:bidi="ar-SA"/>
              </w:rPr>
            </w:pPr>
          </w:p>
        </w:tc>
        <w:tc>
          <w:tcPr>
            <w:tcW w:w="195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hint="eastAsia" w:ascii="仿宋_GB2312" w:hAnsi="仿宋_GB2312" w:eastAsia="仿宋_GB2312" w:cs="仿宋_GB2312"/>
                <w:kern w:val="10"/>
                <w:sz w:val="21"/>
                <w:szCs w:val="21"/>
                <w:lang w:val="en-US" w:eastAsia="zh-CN" w:bidi="ar-SA"/>
              </w:rPr>
            </w:pPr>
            <w:r>
              <w:rPr>
                <w:rFonts w:hint="eastAsia" w:ascii="仿宋_GB2312" w:hAnsi="仿宋_GB2312" w:eastAsia="仿宋_GB2312" w:cs="仿宋_GB2312"/>
                <w:kern w:val="0"/>
                <w:sz w:val="24"/>
              </w:rPr>
              <w:t>设备本体</w:t>
            </w:r>
          </w:p>
        </w:tc>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i w:val="0"/>
                <w:iCs w:val="0"/>
                <w:color w:val="000000"/>
                <w:sz w:val="24"/>
                <w:szCs w:val="24"/>
                <w:u w:val="none"/>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 w:hAnsi="仿宋" w:eastAsia="仿宋" w:cs="仿宋"/>
                <w:i w:val="0"/>
                <w:iCs w:val="0"/>
                <w:color w:val="000000"/>
                <w:sz w:val="24"/>
                <w:szCs w:val="24"/>
                <w:u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left" w:pos="531"/>
              </w:tabs>
              <w:spacing w:line="360" w:lineRule="auto"/>
              <w:jc w:val="left"/>
              <w:rPr>
                <w:rFonts w:hint="eastAsia" w:ascii="仿宋" w:hAnsi="仿宋" w:eastAsia="仿宋" w:cs="仿宋"/>
                <w:i w:val="0"/>
                <w:iCs w:val="0"/>
                <w:color w:val="000000"/>
                <w:sz w:val="24"/>
                <w:szCs w:val="24"/>
                <w:u w:val="none"/>
                <w:lang w:eastAsia="zh-CN"/>
              </w:rPr>
            </w:pPr>
          </w:p>
        </w:tc>
      </w:tr>
      <w:tr>
        <w:tblPrEx>
          <w:tblCellMar>
            <w:top w:w="0" w:type="dxa"/>
            <w:left w:w="108" w:type="dxa"/>
            <w:bottom w:w="0" w:type="dxa"/>
            <w:right w:w="108" w:type="dxa"/>
          </w:tblCellMar>
        </w:tblPrEx>
        <w:trPr>
          <w:trHeight w:val="458" w:hRule="atLeast"/>
        </w:trPr>
        <w:tc>
          <w:tcPr>
            <w:tcW w:w="622"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40" w:type="dxa"/>
            <w:vMerge w:val="continue"/>
            <w:tcBorders>
              <w:left w:val="single" w:color="auto" w:sz="4" w:space="0"/>
              <w:right w:val="single" w:color="auto" w:sz="4" w:space="0"/>
            </w:tcBorders>
            <w:shd w:val="clear" w:color="auto" w:fill="auto"/>
            <w:noWrap/>
            <w:vAlign w:val="center"/>
          </w:tcPr>
          <w:p>
            <w:pPr>
              <w:adjustRightInd w:val="0"/>
              <w:snapToGrid w:val="0"/>
              <w:spacing w:line="360" w:lineRule="auto"/>
              <w:jc w:val="center"/>
              <w:rPr>
                <w:rFonts w:hint="eastAsia" w:ascii="仿宋_GB2312" w:hAnsi="仿宋_GB2312" w:eastAsia="仿宋_GB2312" w:cs="仿宋_GB2312"/>
                <w:kern w:val="10"/>
                <w:sz w:val="21"/>
                <w:szCs w:val="21"/>
                <w:lang w:val="en-US" w:eastAsia="zh-CN" w:bidi="ar-SA"/>
              </w:rPr>
            </w:pPr>
          </w:p>
        </w:tc>
        <w:tc>
          <w:tcPr>
            <w:tcW w:w="195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hint="eastAsia" w:ascii="仿宋_GB2312" w:hAnsi="仿宋_GB2312" w:eastAsia="仿宋_GB2312" w:cs="仿宋_GB2312"/>
                <w:kern w:val="10"/>
                <w:sz w:val="21"/>
                <w:szCs w:val="21"/>
                <w:lang w:val="en-US" w:eastAsia="zh-CN" w:bidi="ar-SA"/>
              </w:rPr>
            </w:pPr>
            <w:r>
              <w:rPr>
                <w:rFonts w:hint="eastAsia" w:ascii="仿宋_GB2312" w:hAnsi="仿宋_GB2312" w:eastAsia="仿宋_GB2312" w:cs="仿宋_GB2312"/>
                <w:kern w:val="0"/>
                <w:sz w:val="24"/>
              </w:rPr>
              <w:t>表冷器</w:t>
            </w:r>
          </w:p>
        </w:tc>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109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lang w:eastAsia="zh-CN"/>
              </w:rPr>
            </w:pPr>
          </w:p>
        </w:tc>
      </w:tr>
      <w:tr>
        <w:tblPrEx>
          <w:tblCellMar>
            <w:top w:w="0" w:type="dxa"/>
            <w:left w:w="108" w:type="dxa"/>
            <w:bottom w:w="0" w:type="dxa"/>
            <w:right w:w="108" w:type="dxa"/>
          </w:tblCellMar>
        </w:tblPrEx>
        <w:trPr>
          <w:trHeight w:val="439" w:hRule="atLeast"/>
        </w:trPr>
        <w:tc>
          <w:tcPr>
            <w:tcW w:w="622"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p>
        </w:tc>
        <w:tc>
          <w:tcPr>
            <w:tcW w:w="2340" w:type="dxa"/>
            <w:vMerge w:val="continue"/>
            <w:tcBorders>
              <w:left w:val="single" w:color="auto" w:sz="4" w:space="0"/>
              <w:right w:val="single" w:color="auto" w:sz="4" w:space="0"/>
            </w:tcBorders>
            <w:shd w:val="clear" w:color="auto" w:fill="auto"/>
            <w:noWrap/>
            <w:vAlign w:val="center"/>
          </w:tcPr>
          <w:p>
            <w:pPr>
              <w:adjustRightInd w:val="0"/>
              <w:snapToGrid w:val="0"/>
              <w:spacing w:line="360" w:lineRule="auto"/>
              <w:jc w:val="center"/>
              <w:rPr>
                <w:rFonts w:hint="eastAsia" w:ascii="仿宋_GB2312" w:hAnsi="仿宋_GB2312" w:eastAsia="仿宋_GB2312" w:cs="仿宋_GB2312"/>
                <w:kern w:val="10"/>
                <w:sz w:val="21"/>
                <w:szCs w:val="21"/>
                <w:lang w:val="en-US" w:eastAsia="zh-CN" w:bidi="ar-SA"/>
              </w:rPr>
            </w:pPr>
          </w:p>
        </w:tc>
        <w:tc>
          <w:tcPr>
            <w:tcW w:w="195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hint="default" w:ascii="仿宋_GB2312" w:hAnsi="仿宋_GB2312" w:eastAsia="仿宋_GB2312" w:cs="仿宋_GB2312"/>
                <w:kern w:val="10"/>
                <w:sz w:val="21"/>
                <w:szCs w:val="21"/>
                <w:lang w:val="en-US" w:eastAsia="zh-CN" w:bidi="ar-SA"/>
              </w:rPr>
            </w:pPr>
            <w:r>
              <w:rPr>
                <w:rFonts w:hint="eastAsia" w:ascii="仿宋_GB2312" w:hAnsi="仿宋_GB2312" w:eastAsia="仿宋_GB2312" w:cs="仿宋_GB2312"/>
                <w:kern w:val="0"/>
                <w:sz w:val="24"/>
              </w:rPr>
              <w:t>风机</w:t>
            </w:r>
          </w:p>
        </w:tc>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109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lang w:eastAsia="zh-CN"/>
              </w:rPr>
            </w:pPr>
          </w:p>
        </w:tc>
      </w:tr>
      <w:tr>
        <w:trPr>
          <w:trHeight w:val="457" w:hRule="atLeast"/>
        </w:trPr>
        <w:tc>
          <w:tcPr>
            <w:tcW w:w="622"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p>
        </w:tc>
        <w:tc>
          <w:tcPr>
            <w:tcW w:w="2340" w:type="dxa"/>
            <w:vMerge w:val="continue"/>
            <w:tcBorders>
              <w:left w:val="single" w:color="auto" w:sz="4" w:space="0"/>
              <w:right w:val="single" w:color="auto" w:sz="4" w:space="0"/>
            </w:tcBorders>
            <w:shd w:val="clear" w:color="auto" w:fill="auto"/>
            <w:noWrap/>
            <w:vAlign w:val="center"/>
          </w:tcPr>
          <w:p>
            <w:pPr>
              <w:adjustRightInd w:val="0"/>
              <w:snapToGrid w:val="0"/>
              <w:spacing w:line="360" w:lineRule="auto"/>
              <w:jc w:val="center"/>
              <w:rPr>
                <w:rFonts w:hint="eastAsia" w:ascii="仿宋_GB2312" w:hAnsi="仿宋_GB2312" w:eastAsia="仿宋_GB2312" w:cs="仿宋_GB2312"/>
                <w:kern w:val="10"/>
                <w:sz w:val="21"/>
                <w:szCs w:val="21"/>
                <w:lang w:val="en-US" w:eastAsia="zh-CN" w:bidi="ar-SA"/>
              </w:rPr>
            </w:pPr>
          </w:p>
        </w:tc>
        <w:tc>
          <w:tcPr>
            <w:tcW w:w="195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hint="default" w:ascii="仿宋_GB2312" w:hAnsi="仿宋_GB2312" w:eastAsia="仿宋_GB2312" w:cs="仿宋_GB2312"/>
                <w:kern w:val="10"/>
                <w:sz w:val="21"/>
                <w:szCs w:val="21"/>
                <w:lang w:val="en-US" w:eastAsia="zh-CN" w:bidi="ar-SA"/>
              </w:rPr>
            </w:pPr>
            <w:r>
              <w:rPr>
                <w:rFonts w:hint="eastAsia" w:ascii="仿宋_GB2312" w:hAnsi="仿宋_GB2312" w:eastAsia="仿宋_GB2312" w:cs="仿宋_GB2312"/>
                <w:kern w:val="0"/>
                <w:sz w:val="24"/>
              </w:rPr>
              <w:t>电控箱</w:t>
            </w:r>
          </w:p>
        </w:tc>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109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lang w:eastAsia="zh-CN"/>
              </w:rPr>
            </w:pPr>
          </w:p>
        </w:tc>
      </w:tr>
      <w:tr>
        <w:trPr>
          <w:trHeight w:val="515" w:hRule="atLeast"/>
        </w:trPr>
        <w:tc>
          <w:tcPr>
            <w:tcW w:w="622"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p>
        </w:tc>
        <w:tc>
          <w:tcPr>
            <w:tcW w:w="2340" w:type="dxa"/>
            <w:vMerge w:val="continue"/>
            <w:tcBorders>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hint="eastAsia" w:ascii="仿宋_GB2312" w:hAnsi="仿宋_GB2312" w:eastAsia="仿宋_GB2312" w:cs="仿宋_GB2312"/>
                <w:kern w:val="10"/>
                <w:sz w:val="21"/>
                <w:szCs w:val="21"/>
                <w:lang w:val="en-US" w:eastAsia="zh-CN" w:bidi="ar-SA"/>
              </w:rPr>
            </w:pPr>
          </w:p>
        </w:tc>
        <w:tc>
          <w:tcPr>
            <w:tcW w:w="195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风道</w:t>
            </w:r>
          </w:p>
        </w:tc>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109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lang w:eastAsia="zh-CN"/>
              </w:rPr>
            </w:pPr>
          </w:p>
        </w:tc>
      </w:tr>
      <w:tr>
        <w:trPr>
          <w:trHeight w:val="728" w:hRule="atLeast"/>
        </w:trPr>
        <w:tc>
          <w:tcPr>
            <w:tcW w:w="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hint="eastAsia" w:ascii="仿宋_GB2312" w:hAnsi="仿宋_GB2312" w:eastAsia="仿宋_GB2312" w:cs="仿宋_GB2312"/>
                <w:kern w:val="10"/>
                <w:sz w:val="21"/>
                <w:szCs w:val="21"/>
                <w:lang w:val="en-US" w:eastAsia="zh-CN" w:bidi="ar-SA"/>
              </w:rPr>
            </w:pPr>
            <w:r>
              <w:rPr>
                <w:rFonts w:hint="eastAsia" w:ascii="仿宋_GB2312" w:hAnsi="仿宋_GB2312" w:eastAsia="仿宋_GB2312" w:cs="仿宋_GB2312"/>
                <w:kern w:val="0"/>
                <w:sz w:val="24"/>
              </w:rPr>
              <w:t>冷却水系统</w:t>
            </w:r>
          </w:p>
        </w:tc>
        <w:tc>
          <w:tcPr>
            <w:tcW w:w="195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firstLine="210" w:firstLineChars="100"/>
              <w:jc w:val="both"/>
              <w:rPr>
                <w:rFonts w:hint="default" w:ascii="仿宋_GB2312" w:hAnsi="仿宋_GB2312" w:eastAsia="仿宋_GB2312" w:cs="仿宋_GB2312"/>
                <w:kern w:val="10"/>
                <w:sz w:val="21"/>
                <w:szCs w:val="21"/>
                <w:lang w:val="en-US" w:eastAsia="zh-CN" w:bidi="ar-SA"/>
              </w:rPr>
            </w:pPr>
          </w:p>
        </w:tc>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109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lang w:eastAsia="zh-CN"/>
              </w:rPr>
            </w:pPr>
          </w:p>
        </w:tc>
      </w:tr>
      <w:tr>
        <w:trPr>
          <w:trHeight w:val="601" w:hRule="atLeast"/>
        </w:trPr>
        <w:tc>
          <w:tcPr>
            <w:tcW w:w="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kern w:val="10"/>
                <w:sz w:val="21"/>
                <w:szCs w:val="21"/>
                <w:lang w:val="en-US" w:eastAsia="zh-CN" w:bidi="ar-SA"/>
              </w:rPr>
            </w:pPr>
          </w:p>
        </w:tc>
        <w:tc>
          <w:tcPr>
            <w:tcW w:w="195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left="-30" w:leftChars="0"/>
              <w:jc w:val="center"/>
              <w:rPr>
                <w:rFonts w:hint="default" w:ascii="仿宋_GB2312" w:hAnsi="仿宋_GB2312" w:eastAsia="仿宋_GB2312" w:cs="仿宋_GB2312"/>
                <w:kern w:val="10"/>
                <w:sz w:val="21"/>
                <w:szCs w:val="21"/>
                <w:lang w:val="en-US" w:eastAsia="zh-CN" w:bidi="ar-SA"/>
              </w:rPr>
            </w:pPr>
            <w:r>
              <w:rPr>
                <w:rFonts w:hint="eastAsia" w:ascii="仿宋_GB2312" w:hAnsi="仿宋_GB2312" w:eastAsia="仿宋_GB2312" w:cs="仿宋_GB2312"/>
                <w:kern w:val="0"/>
                <w:sz w:val="24"/>
              </w:rPr>
              <w:t>冷却塔</w:t>
            </w:r>
          </w:p>
        </w:tc>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109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lang w:eastAsia="zh-CN"/>
              </w:rPr>
            </w:pPr>
          </w:p>
        </w:tc>
      </w:tr>
      <w:tr>
        <w:trPr>
          <w:trHeight w:val="601" w:hRule="atLeast"/>
        </w:trPr>
        <w:tc>
          <w:tcPr>
            <w:tcW w:w="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left="-30" w:leftChars="0"/>
              <w:jc w:val="center"/>
              <w:rPr>
                <w:rFonts w:hint="eastAsia" w:ascii="仿宋_GB2312" w:hAnsi="仿宋_GB2312" w:eastAsia="仿宋_GB2312" w:cs="仿宋_GB2312"/>
                <w:kern w:val="10"/>
                <w:sz w:val="21"/>
                <w:szCs w:val="21"/>
                <w:lang w:eastAsia="zh-CN"/>
              </w:rPr>
            </w:pPr>
            <w:r>
              <w:rPr>
                <w:rFonts w:hint="eastAsia" w:ascii="仿宋_GB2312" w:hAnsi="仿宋_GB2312" w:eastAsia="仿宋_GB2312" w:cs="仿宋_GB2312"/>
                <w:kern w:val="0"/>
                <w:sz w:val="24"/>
                <w:lang w:eastAsia="zh-CN"/>
              </w:rPr>
              <w:t>安装服务</w:t>
            </w:r>
          </w:p>
        </w:tc>
        <w:tc>
          <w:tcPr>
            <w:tcW w:w="195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hint="default" w:ascii="仿宋_GB2312" w:hAnsi="仿宋_GB2312" w:eastAsia="仿宋_GB2312" w:cs="仿宋_GB2312"/>
                <w:kern w:val="0"/>
                <w:sz w:val="24"/>
                <w:szCs w:val="22"/>
                <w:lang w:val="en-US" w:eastAsia="zh-CN" w:bidi="ar-SA"/>
              </w:rPr>
            </w:pPr>
          </w:p>
        </w:tc>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109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rPr>
            </w:pP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仿宋" w:hAnsi="仿宋" w:eastAsia="仿宋" w:cs="仿宋"/>
                <w:i w:val="0"/>
                <w:iCs w:val="0"/>
                <w:color w:val="000000"/>
                <w:sz w:val="24"/>
                <w:szCs w:val="24"/>
                <w:u w:val="none"/>
                <w:lang w:eastAsia="zh-CN"/>
              </w:rPr>
            </w:pPr>
          </w:p>
        </w:tc>
      </w:tr>
    </w:tbl>
    <w:p>
      <w:pPr>
        <w:pStyle w:val="2"/>
        <w:spacing w:line="360" w:lineRule="auto"/>
        <w:ind w:left="0" w:leftChars="0"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费用总计（万元）：</w:t>
      </w:r>
    </w:p>
    <w:p>
      <w:pPr>
        <w:pStyle w:val="2"/>
        <w:spacing w:line="360" w:lineRule="auto"/>
        <w:ind w:left="0" w:leftChars="0" w:firstLine="0" w:firstLineChars="0"/>
        <w:rPr>
          <w:rFonts w:hint="eastAsia" w:ascii="仿宋_GB2312" w:eastAsia="仿宋_GB2312"/>
          <w:sz w:val="32"/>
          <w:szCs w:val="32"/>
          <w:lang w:val="en-US" w:eastAsia="zh-CN"/>
        </w:rPr>
      </w:pPr>
    </w:p>
    <w:p>
      <w:pPr>
        <w:pStyle w:val="2"/>
        <w:spacing w:line="360" w:lineRule="auto"/>
        <w:ind w:left="0" w:leftChars="0"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报价单位：</w:t>
      </w:r>
    </w:p>
    <w:p>
      <w:pPr>
        <w:pStyle w:val="2"/>
        <w:spacing w:line="360" w:lineRule="auto"/>
        <w:ind w:left="0" w:leftChars="0" w:firstLine="0" w:firstLineChars="0"/>
        <w:rPr>
          <w:rFonts w:ascii="仿宋_GB2312" w:hAnsi="仿宋" w:eastAsia="仿宋_GB2312"/>
          <w:sz w:val="24"/>
          <w:lang w:val="zh-CN"/>
        </w:rPr>
      </w:pPr>
      <w:r>
        <w:rPr>
          <w:rFonts w:hint="eastAsia" w:ascii="仿宋_GB2312" w:eastAsia="仿宋_GB2312"/>
          <w:sz w:val="32"/>
          <w:szCs w:val="32"/>
          <w:lang w:val="en-US" w:eastAsia="zh-CN"/>
        </w:rPr>
        <w:t xml:space="preserve">                                      年   月   日</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表二</w:t>
      </w:r>
      <w:r>
        <w:rPr>
          <w:rFonts w:ascii="仿宋_GB2312" w:hAnsi="仿宋" w:eastAsia="仿宋_GB2312"/>
          <w:sz w:val="24"/>
          <w:lang w:val="zh-CN"/>
        </w:rPr>
        <w:t xml:space="preserve">： </w:t>
      </w:r>
    </w:p>
    <w:p>
      <w:pPr>
        <w:pStyle w:val="2"/>
        <w:ind w:firstLine="560"/>
        <w:jc w:val="center"/>
        <w:rPr>
          <w:rFonts w:ascii="楷体" w:hAnsi="楷体" w:eastAsia="楷体" w:cs="楷体"/>
          <w:b/>
          <w:bCs/>
          <w:sz w:val="28"/>
          <w:szCs w:val="28"/>
        </w:rPr>
      </w:pPr>
      <w:r>
        <w:rPr>
          <w:rFonts w:hint="default" w:ascii="仿宋_GB2312" w:hAnsi="宋体" w:eastAsia="仿宋_GB2312" w:cs="楷体"/>
          <w:b/>
          <w:bCs/>
          <w:sz w:val="28"/>
          <w:szCs w:val="28"/>
        </w:rPr>
        <w:t>单台空水冷设备参数</w:t>
      </w:r>
    </w:p>
    <w:tbl>
      <w:tblPr>
        <w:tblStyle w:val="18"/>
        <w:tblpPr w:leftFromText="180" w:rightFromText="180" w:vertAnchor="text" w:horzAnchor="page" w:tblpX="1726" w:tblpY="656"/>
        <w:tblOverlap w:val="never"/>
        <w:tblW w:w="46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400"/>
        <w:gridCol w:w="4106"/>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435" w:type="pct"/>
            <w:vAlign w:val="center"/>
          </w:tcPr>
          <w:p>
            <w:pPr>
              <w:spacing w:line="360" w:lineRule="auto"/>
              <w:jc w:val="center"/>
              <w:rPr>
                <w:rFonts w:hint="eastAsia" w:ascii="仿宋" w:hAnsi="仿宋" w:eastAsia="仿宋" w:cs="仿宋"/>
                <w:sz w:val="28"/>
                <w:szCs w:val="28"/>
                <w:highlight w:val="none"/>
                <w:lang w:eastAsia="zh-CN"/>
              </w:rPr>
            </w:pPr>
            <w:r>
              <w:rPr>
                <w:rFonts w:hint="eastAsia" w:ascii="仿宋" w:hAnsi="仿宋" w:eastAsia="仿宋" w:cs="仿宋"/>
                <w:sz w:val="24"/>
                <w:szCs w:val="24"/>
                <w:highlight w:val="none"/>
                <w:lang w:eastAsia="zh-CN"/>
              </w:rPr>
              <w:t>序号</w:t>
            </w:r>
          </w:p>
        </w:tc>
        <w:tc>
          <w:tcPr>
            <w:tcW w:w="1428" w:type="pct"/>
            <w:vAlign w:val="center"/>
          </w:tcPr>
          <w:p>
            <w:pPr>
              <w:adjustRightInd w:val="0"/>
              <w:snapToGrid w:val="0"/>
              <w:spacing w:line="360" w:lineRule="auto"/>
              <w:jc w:val="center"/>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kern w:val="0"/>
                <w:sz w:val="24"/>
                <w:highlight w:val="none"/>
                <w:lang w:eastAsia="zh-CN"/>
              </w:rPr>
              <w:t>项目名称</w:t>
            </w:r>
          </w:p>
        </w:tc>
        <w:tc>
          <w:tcPr>
            <w:tcW w:w="2443" w:type="pct"/>
            <w:vAlign w:val="center"/>
          </w:tcPr>
          <w:p>
            <w:pPr>
              <w:adjustRightInd w:val="0"/>
              <w:snapToGrid w:val="0"/>
              <w:spacing w:line="360" w:lineRule="auto"/>
              <w:jc w:val="center"/>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kern w:val="0"/>
                <w:sz w:val="24"/>
                <w:highlight w:val="none"/>
                <w:lang w:eastAsia="zh-CN"/>
              </w:rPr>
              <w:t>型号技术参数规格尺寸</w:t>
            </w:r>
          </w:p>
        </w:tc>
        <w:tc>
          <w:tcPr>
            <w:tcW w:w="693" w:type="pct"/>
            <w:vAlign w:val="center"/>
          </w:tcPr>
          <w:p>
            <w:pPr>
              <w:adjustRightInd w:val="0"/>
              <w:snapToGrid w:val="0"/>
              <w:spacing w:line="360" w:lineRule="auto"/>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435" w:type="pct"/>
            <w:vAlign w:val="center"/>
          </w:tcPr>
          <w:p>
            <w:pPr>
              <w:spacing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1428" w:type="pct"/>
            <w:vAlign w:val="center"/>
          </w:tcPr>
          <w:p>
            <w:pPr>
              <w:adjustRightInd w:val="0"/>
              <w:snapToGrid w:val="0"/>
              <w:spacing w:line="360" w:lineRule="auto"/>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配置空水冷型号</w:t>
            </w:r>
          </w:p>
        </w:tc>
        <w:tc>
          <w:tcPr>
            <w:tcW w:w="2443" w:type="pct"/>
            <w:vAlign w:val="center"/>
          </w:tcPr>
          <w:p>
            <w:pPr>
              <w:spacing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p>
          <w:p>
            <w:pPr>
              <w:spacing w:line="360" w:lineRule="auto"/>
              <w:ind w:firstLine="560" w:firstLineChars="200"/>
              <w:jc w:val="center"/>
              <w:rPr>
                <w:rFonts w:ascii="仿宋" w:hAnsi="仿宋" w:eastAsia="仿宋" w:cs="仿宋"/>
                <w:sz w:val="28"/>
                <w:szCs w:val="28"/>
                <w:highlight w:val="none"/>
              </w:rPr>
            </w:pPr>
          </w:p>
        </w:tc>
        <w:tc>
          <w:tcPr>
            <w:tcW w:w="693" w:type="pct"/>
            <w:vAlign w:val="center"/>
          </w:tcPr>
          <w:p>
            <w:pPr>
              <w:spacing w:line="360" w:lineRule="auto"/>
              <w:ind w:firstLine="560" w:firstLineChars="20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435" w:type="pct"/>
            <w:vAlign w:val="center"/>
          </w:tcPr>
          <w:p>
            <w:pPr>
              <w:spacing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1428" w:type="pct"/>
            <w:vAlign w:val="center"/>
          </w:tcPr>
          <w:p>
            <w:pPr>
              <w:spacing w:line="360" w:lineRule="auto"/>
              <w:jc w:val="center"/>
              <w:rPr>
                <w:rFonts w:ascii="仿宋" w:hAnsi="仿宋" w:eastAsia="仿宋" w:cs="仿宋"/>
                <w:sz w:val="28"/>
                <w:szCs w:val="28"/>
                <w:highlight w:val="none"/>
              </w:rPr>
            </w:pPr>
            <w:r>
              <w:rPr>
                <w:rFonts w:hint="eastAsia" w:ascii="仿宋_GB2312" w:hAnsi="仿宋_GB2312" w:eastAsia="仿宋_GB2312" w:cs="仿宋_GB2312"/>
                <w:kern w:val="0"/>
                <w:sz w:val="24"/>
                <w:highlight w:val="none"/>
              </w:rPr>
              <w:t>空水冷设备</w:t>
            </w:r>
          </w:p>
        </w:tc>
        <w:tc>
          <w:tcPr>
            <w:tcW w:w="2443" w:type="pct"/>
            <w:vAlign w:val="center"/>
          </w:tcPr>
          <w:p>
            <w:pPr>
              <w:spacing w:line="360" w:lineRule="auto"/>
              <w:ind w:firstLine="560" w:firstLineChars="200"/>
              <w:jc w:val="center"/>
              <w:rPr>
                <w:rFonts w:ascii="仿宋" w:hAnsi="仿宋" w:eastAsia="仿宋" w:cs="仿宋"/>
                <w:sz w:val="28"/>
                <w:szCs w:val="28"/>
                <w:highlight w:val="none"/>
              </w:rPr>
            </w:pPr>
          </w:p>
          <w:p>
            <w:pPr>
              <w:spacing w:line="360" w:lineRule="auto"/>
              <w:ind w:firstLine="560" w:firstLineChars="200"/>
              <w:jc w:val="center"/>
              <w:rPr>
                <w:rFonts w:ascii="仿宋" w:hAnsi="仿宋" w:eastAsia="仿宋" w:cs="仿宋"/>
                <w:sz w:val="28"/>
                <w:szCs w:val="28"/>
                <w:highlight w:val="none"/>
              </w:rPr>
            </w:pPr>
          </w:p>
        </w:tc>
        <w:tc>
          <w:tcPr>
            <w:tcW w:w="693" w:type="pct"/>
            <w:vAlign w:val="center"/>
          </w:tcPr>
          <w:p>
            <w:pPr>
              <w:spacing w:line="360" w:lineRule="auto"/>
              <w:jc w:val="center"/>
              <w:rPr>
                <w:rFonts w:ascii="仿宋" w:hAnsi="仿宋" w:eastAsia="仿宋" w:cs="仿宋"/>
                <w:sz w:val="28"/>
                <w:szCs w:val="28"/>
                <w:highlight w:val="none"/>
              </w:rPr>
            </w:pPr>
          </w:p>
          <w:p>
            <w:pPr>
              <w:spacing w:line="360" w:lineRule="auto"/>
              <w:ind w:firstLine="560" w:firstLineChars="20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435" w:type="pct"/>
            <w:vMerge w:val="restart"/>
            <w:vAlign w:val="center"/>
          </w:tcPr>
          <w:p>
            <w:pPr>
              <w:spacing w:line="360" w:lineRule="auto"/>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其中</w:t>
            </w:r>
          </w:p>
        </w:tc>
        <w:tc>
          <w:tcPr>
            <w:tcW w:w="1428" w:type="pct"/>
            <w:vAlign w:val="center"/>
          </w:tcPr>
          <w:p>
            <w:pPr>
              <w:adjustRightInd w:val="0"/>
              <w:snapToGrid w:val="0"/>
              <w:spacing w:line="360" w:lineRule="auto"/>
              <w:jc w:val="center"/>
              <w:rPr>
                <w:rFonts w:hint="eastAsia" w:ascii="仿宋" w:hAnsi="仿宋" w:eastAsia="仿宋" w:cs="仿宋"/>
                <w:sz w:val="28"/>
                <w:szCs w:val="28"/>
                <w:highlight w:val="none"/>
              </w:rPr>
            </w:pPr>
            <w:r>
              <w:rPr>
                <w:rFonts w:hint="eastAsia" w:ascii="仿宋_GB2312" w:hAnsi="仿宋_GB2312" w:eastAsia="仿宋_GB2312" w:cs="仿宋_GB2312"/>
                <w:kern w:val="0"/>
                <w:sz w:val="24"/>
                <w:highlight w:val="none"/>
              </w:rPr>
              <w:t>设备本体</w:t>
            </w:r>
          </w:p>
        </w:tc>
        <w:tc>
          <w:tcPr>
            <w:tcW w:w="2443" w:type="pct"/>
            <w:vAlign w:val="center"/>
          </w:tcPr>
          <w:p>
            <w:pPr>
              <w:spacing w:line="360" w:lineRule="auto"/>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w:t>
            </w:r>
          </w:p>
        </w:tc>
        <w:tc>
          <w:tcPr>
            <w:tcW w:w="693" w:type="pct"/>
            <w:vAlign w:val="center"/>
          </w:tcPr>
          <w:p>
            <w:pPr>
              <w:spacing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435" w:type="pct"/>
            <w:vMerge w:val="continue"/>
            <w:vAlign w:val="center"/>
          </w:tcPr>
          <w:p>
            <w:pPr>
              <w:spacing w:line="360" w:lineRule="auto"/>
              <w:jc w:val="center"/>
              <w:rPr>
                <w:rFonts w:hint="eastAsia" w:ascii="仿宋" w:hAnsi="仿宋" w:eastAsia="仿宋" w:cs="仿宋"/>
                <w:sz w:val="28"/>
                <w:szCs w:val="28"/>
                <w:highlight w:val="none"/>
              </w:rPr>
            </w:pPr>
          </w:p>
        </w:tc>
        <w:tc>
          <w:tcPr>
            <w:tcW w:w="1428" w:type="pct"/>
            <w:vAlign w:val="center"/>
          </w:tcPr>
          <w:p>
            <w:pPr>
              <w:adjustRightInd w:val="0"/>
              <w:snapToGrid w:val="0"/>
              <w:spacing w:line="360" w:lineRule="auto"/>
              <w:jc w:val="center"/>
              <w:rPr>
                <w:rFonts w:hint="eastAsia" w:ascii="仿宋" w:hAnsi="仿宋" w:eastAsia="仿宋" w:cs="仿宋"/>
                <w:sz w:val="28"/>
                <w:szCs w:val="28"/>
                <w:highlight w:val="none"/>
              </w:rPr>
            </w:pPr>
            <w:r>
              <w:rPr>
                <w:rFonts w:hint="eastAsia" w:ascii="仿宋_GB2312" w:hAnsi="仿宋_GB2312" w:eastAsia="仿宋_GB2312" w:cs="仿宋_GB2312"/>
                <w:kern w:val="0"/>
                <w:sz w:val="24"/>
                <w:highlight w:val="none"/>
              </w:rPr>
              <w:t>表冷器</w:t>
            </w:r>
          </w:p>
        </w:tc>
        <w:tc>
          <w:tcPr>
            <w:tcW w:w="2443" w:type="pct"/>
            <w:vAlign w:val="center"/>
          </w:tcPr>
          <w:p>
            <w:pPr>
              <w:spacing w:line="360" w:lineRule="auto"/>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w:t>
            </w:r>
          </w:p>
        </w:tc>
        <w:tc>
          <w:tcPr>
            <w:tcW w:w="693" w:type="pct"/>
            <w:vAlign w:val="center"/>
          </w:tcPr>
          <w:p>
            <w:pPr>
              <w:spacing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435" w:type="pct"/>
            <w:vMerge w:val="continue"/>
            <w:vAlign w:val="center"/>
          </w:tcPr>
          <w:p>
            <w:pPr>
              <w:spacing w:line="360" w:lineRule="auto"/>
              <w:jc w:val="center"/>
              <w:rPr>
                <w:rFonts w:hint="eastAsia" w:ascii="仿宋" w:hAnsi="仿宋" w:eastAsia="仿宋" w:cs="仿宋"/>
                <w:sz w:val="28"/>
                <w:szCs w:val="28"/>
                <w:highlight w:val="none"/>
              </w:rPr>
            </w:pPr>
          </w:p>
        </w:tc>
        <w:tc>
          <w:tcPr>
            <w:tcW w:w="1428" w:type="pct"/>
            <w:vAlign w:val="center"/>
          </w:tcPr>
          <w:p>
            <w:pPr>
              <w:adjustRightInd w:val="0"/>
              <w:snapToGrid w:val="0"/>
              <w:spacing w:line="360" w:lineRule="auto"/>
              <w:jc w:val="center"/>
              <w:rPr>
                <w:rFonts w:hint="eastAsia" w:ascii="仿宋" w:hAnsi="仿宋" w:eastAsia="仿宋" w:cs="仿宋"/>
                <w:sz w:val="28"/>
                <w:szCs w:val="28"/>
                <w:highlight w:val="none"/>
              </w:rPr>
            </w:pPr>
            <w:r>
              <w:rPr>
                <w:rFonts w:hint="eastAsia" w:ascii="仿宋_GB2312" w:hAnsi="仿宋_GB2312" w:eastAsia="仿宋_GB2312" w:cs="仿宋_GB2312"/>
                <w:kern w:val="0"/>
                <w:sz w:val="24"/>
                <w:highlight w:val="none"/>
              </w:rPr>
              <w:t>电控箱</w:t>
            </w:r>
          </w:p>
        </w:tc>
        <w:tc>
          <w:tcPr>
            <w:tcW w:w="2443" w:type="pct"/>
            <w:vAlign w:val="center"/>
          </w:tcPr>
          <w:p>
            <w:pPr>
              <w:spacing w:line="360" w:lineRule="auto"/>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w:t>
            </w:r>
          </w:p>
        </w:tc>
        <w:tc>
          <w:tcPr>
            <w:tcW w:w="693" w:type="pct"/>
            <w:vAlign w:val="center"/>
          </w:tcPr>
          <w:p>
            <w:pPr>
              <w:spacing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732" w:type="dxa"/>
            <w:vAlign w:val="center"/>
          </w:tcPr>
          <w:p>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p>
        </w:tc>
        <w:tc>
          <w:tcPr>
            <w:tcW w:w="1428" w:type="pct"/>
            <w:vAlign w:val="center"/>
          </w:tcPr>
          <w:p>
            <w:pPr>
              <w:adjustRightInd w:val="0"/>
              <w:snapToGrid w:val="0"/>
              <w:spacing w:line="240" w:lineRule="auto"/>
              <w:jc w:val="center"/>
              <w:rPr>
                <w:rFonts w:hint="eastAsia" w:ascii="仿宋_GB2312" w:hAnsi="仿宋_GB2312" w:eastAsia="仿宋_GB2312" w:cs="仿宋_GB2312"/>
                <w:kern w:val="0"/>
                <w:sz w:val="24"/>
                <w:szCs w:val="22"/>
                <w:highlight w:val="none"/>
                <w:lang w:val="en-US" w:eastAsia="zh-CN" w:bidi="ar-SA"/>
              </w:rPr>
            </w:pPr>
            <w:r>
              <w:rPr>
                <w:rFonts w:hint="eastAsia" w:ascii="仿宋_GB2312" w:hAnsi="仿宋_GB2312" w:eastAsia="仿宋_GB2312" w:cs="仿宋_GB2312"/>
                <w:kern w:val="0"/>
                <w:sz w:val="24"/>
                <w:highlight w:val="none"/>
              </w:rPr>
              <w:t>风道</w:t>
            </w:r>
          </w:p>
        </w:tc>
        <w:tc>
          <w:tcPr>
            <w:tcW w:w="2443" w:type="pct"/>
            <w:vAlign w:val="center"/>
          </w:tcPr>
          <w:p>
            <w:pPr>
              <w:spacing w:line="360" w:lineRule="auto"/>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w:t>
            </w:r>
          </w:p>
        </w:tc>
        <w:tc>
          <w:tcPr>
            <w:tcW w:w="693" w:type="pct"/>
            <w:vAlign w:val="center"/>
          </w:tcPr>
          <w:p>
            <w:pPr>
              <w:spacing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732" w:type="dxa"/>
            <w:vAlign w:val="center"/>
          </w:tcPr>
          <w:p>
            <w:pPr>
              <w:spacing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1428" w:type="pct"/>
            <w:vAlign w:val="center"/>
          </w:tcPr>
          <w:p>
            <w:pPr>
              <w:spacing w:line="360" w:lineRule="auto"/>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单台制冷量</w:t>
            </w:r>
          </w:p>
        </w:tc>
        <w:tc>
          <w:tcPr>
            <w:tcW w:w="2443" w:type="pct"/>
            <w:vAlign w:val="center"/>
          </w:tcPr>
          <w:p>
            <w:pPr>
              <w:spacing w:line="360" w:lineRule="auto"/>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 xml:space="preserve">* </w:t>
            </w:r>
            <w:r>
              <w:rPr>
                <w:rFonts w:hint="eastAsia" w:ascii="仿宋_GB2312" w:hAnsi="仿宋_GB2312" w:eastAsia="仿宋_GB2312" w:cs="仿宋_GB2312"/>
                <w:kern w:val="0"/>
                <w:sz w:val="24"/>
                <w:highlight w:val="none"/>
              </w:rPr>
              <w:t>kW</w:t>
            </w:r>
          </w:p>
          <w:p>
            <w:pPr>
              <w:spacing w:line="360" w:lineRule="auto"/>
              <w:jc w:val="center"/>
              <w:rPr>
                <w:rFonts w:hint="eastAsia" w:ascii="仿宋_GB2312" w:hAnsi="仿宋_GB2312" w:eastAsia="仿宋_GB2312" w:cs="仿宋_GB2312"/>
                <w:kern w:val="0"/>
                <w:sz w:val="24"/>
                <w:highlight w:val="none"/>
              </w:rPr>
            </w:pPr>
          </w:p>
          <w:p>
            <w:pPr>
              <w:spacing w:line="360" w:lineRule="auto"/>
              <w:jc w:val="center"/>
              <w:rPr>
                <w:rFonts w:hint="eastAsia" w:ascii="仿宋_GB2312" w:hAnsi="仿宋_GB2312" w:eastAsia="仿宋_GB2312" w:cs="仿宋_GB2312"/>
                <w:kern w:val="0"/>
                <w:sz w:val="24"/>
                <w:highlight w:val="none"/>
              </w:rPr>
            </w:pPr>
          </w:p>
        </w:tc>
        <w:tc>
          <w:tcPr>
            <w:tcW w:w="693" w:type="pct"/>
            <w:vAlign w:val="center"/>
          </w:tcPr>
          <w:p>
            <w:pPr>
              <w:spacing w:line="360" w:lineRule="auto"/>
              <w:ind w:firstLine="560" w:firstLineChars="200"/>
              <w:jc w:val="lef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732" w:type="dxa"/>
            <w:vAlign w:val="center"/>
          </w:tcPr>
          <w:p>
            <w:pPr>
              <w:spacing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p>
        </w:tc>
        <w:tc>
          <w:tcPr>
            <w:tcW w:w="1428" w:type="pct"/>
            <w:vAlign w:val="center"/>
          </w:tcPr>
          <w:p>
            <w:pPr>
              <w:spacing w:line="360" w:lineRule="auto"/>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单台额定风量</w:t>
            </w:r>
          </w:p>
        </w:tc>
        <w:tc>
          <w:tcPr>
            <w:tcW w:w="2443" w:type="pct"/>
            <w:vAlign w:val="center"/>
          </w:tcPr>
          <w:p>
            <w:pPr>
              <w:spacing w:line="360" w:lineRule="auto"/>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 xml:space="preserve">*  </w:t>
            </w:r>
            <w:r>
              <w:rPr>
                <w:rFonts w:hint="eastAsia" w:ascii="仿宋_GB2312" w:hAnsi="仿宋_GB2312" w:eastAsia="仿宋_GB2312" w:cs="仿宋_GB2312"/>
                <w:kern w:val="0"/>
                <w:sz w:val="24"/>
                <w:highlight w:val="none"/>
              </w:rPr>
              <w:t>m³/h</w:t>
            </w:r>
          </w:p>
          <w:p>
            <w:pPr>
              <w:spacing w:line="360" w:lineRule="auto"/>
              <w:jc w:val="center"/>
              <w:rPr>
                <w:rFonts w:hint="eastAsia" w:ascii="仿宋_GB2312" w:hAnsi="仿宋_GB2312" w:eastAsia="仿宋_GB2312" w:cs="仿宋_GB2312"/>
                <w:kern w:val="0"/>
                <w:sz w:val="24"/>
                <w:highlight w:val="none"/>
              </w:rPr>
            </w:pPr>
          </w:p>
          <w:p>
            <w:pPr>
              <w:spacing w:line="360" w:lineRule="auto"/>
              <w:jc w:val="center"/>
              <w:rPr>
                <w:rFonts w:hint="eastAsia" w:ascii="仿宋_GB2312" w:hAnsi="仿宋_GB2312" w:eastAsia="仿宋_GB2312" w:cs="仿宋_GB2312"/>
                <w:kern w:val="0"/>
                <w:sz w:val="24"/>
                <w:highlight w:val="none"/>
              </w:rPr>
            </w:pPr>
          </w:p>
        </w:tc>
        <w:tc>
          <w:tcPr>
            <w:tcW w:w="693" w:type="pct"/>
            <w:vAlign w:val="center"/>
          </w:tcPr>
          <w:p>
            <w:pPr>
              <w:spacing w:line="360" w:lineRule="auto"/>
              <w:ind w:firstLine="560" w:firstLineChars="200"/>
              <w:jc w:val="lef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732" w:type="dxa"/>
            <w:vAlign w:val="center"/>
          </w:tcPr>
          <w:p>
            <w:pPr>
              <w:spacing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p>
        </w:tc>
        <w:tc>
          <w:tcPr>
            <w:tcW w:w="1428" w:type="pct"/>
            <w:vAlign w:val="center"/>
          </w:tcPr>
          <w:p>
            <w:pPr>
              <w:spacing w:line="360" w:lineRule="auto"/>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电源</w:t>
            </w:r>
          </w:p>
        </w:tc>
        <w:tc>
          <w:tcPr>
            <w:tcW w:w="2443" w:type="pct"/>
            <w:vAlign w:val="center"/>
          </w:tcPr>
          <w:p>
            <w:pPr>
              <w:spacing w:line="360" w:lineRule="auto"/>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AC380V3Ph 50Hz</w:t>
            </w:r>
          </w:p>
          <w:p>
            <w:pPr>
              <w:spacing w:line="360" w:lineRule="auto"/>
              <w:jc w:val="center"/>
              <w:rPr>
                <w:rFonts w:hint="eastAsia" w:ascii="仿宋_GB2312" w:hAnsi="仿宋_GB2312" w:eastAsia="仿宋_GB2312" w:cs="仿宋_GB2312"/>
                <w:kern w:val="0"/>
                <w:sz w:val="24"/>
                <w:highlight w:val="none"/>
              </w:rPr>
            </w:pPr>
          </w:p>
          <w:p>
            <w:pPr>
              <w:spacing w:line="360" w:lineRule="auto"/>
              <w:jc w:val="center"/>
              <w:rPr>
                <w:rFonts w:hint="eastAsia" w:ascii="仿宋_GB2312" w:hAnsi="仿宋_GB2312" w:eastAsia="仿宋_GB2312" w:cs="仿宋_GB2312"/>
                <w:kern w:val="0"/>
                <w:sz w:val="24"/>
                <w:highlight w:val="none"/>
              </w:rPr>
            </w:pPr>
          </w:p>
        </w:tc>
        <w:tc>
          <w:tcPr>
            <w:tcW w:w="693" w:type="pct"/>
            <w:vAlign w:val="center"/>
          </w:tcPr>
          <w:p>
            <w:pPr>
              <w:spacing w:line="360" w:lineRule="auto"/>
              <w:ind w:firstLine="560" w:firstLineChars="200"/>
              <w:jc w:val="lef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732" w:type="dxa"/>
            <w:vAlign w:val="center"/>
          </w:tcPr>
          <w:p>
            <w:pPr>
              <w:spacing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w:t>
            </w:r>
          </w:p>
        </w:tc>
        <w:tc>
          <w:tcPr>
            <w:tcW w:w="1428" w:type="pct"/>
            <w:vAlign w:val="center"/>
          </w:tcPr>
          <w:p>
            <w:pPr>
              <w:spacing w:line="360" w:lineRule="auto"/>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单台空水冷风机功率</w:t>
            </w:r>
          </w:p>
        </w:tc>
        <w:tc>
          <w:tcPr>
            <w:tcW w:w="2443" w:type="pct"/>
            <w:vAlign w:val="center"/>
          </w:tcPr>
          <w:p>
            <w:pPr>
              <w:spacing w:line="360" w:lineRule="auto"/>
              <w:jc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 xml:space="preserve">* </w:t>
            </w:r>
            <w:r>
              <w:rPr>
                <w:rFonts w:hint="eastAsia" w:ascii="仿宋_GB2312" w:hAnsi="仿宋_GB2312" w:eastAsia="仿宋_GB2312" w:cs="仿宋_GB2312"/>
                <w:kern w:val="0"/>
                <w:sz w:val="24"/>
                <w:highlight w:val="none"/>
              </w:rPr>
              <w:t>kW</w:t>
            </w:r>
          </w:p>
          <w:p>
            <w:pPr>
              <w:spacing w:line="360" w:lineRule="auto"/>
              <w:jc w:val="center"/>
              <w:rPr>
                <w:rFonts w:hint="eastAsia" w:ascii="仿宋_GB2312" w:hAnsi="仿宋_GB2312" w:eastAsia="仿宋_GB2312" w:cs="仿宋_GB2312"/>
                <w:kern w:val="0"/>
                <w:sz w:val="24"/>
                <w:highlight w:val="none"/>
              </w:rPr>
            </w:pPr>
          </w:p>
        </w:tc>
        <w:tc>
          <w:tcPr>
            <w:tcW w:w="693" w:type="pct"/>
            <w:vAlign w:val="center"/>
          </w:tcPr>
          <w:p>
            <w:pPr>
              <w:spacing w:line="360" w:lineRule="auto"/>
              <w:ind w:firstLine="560" w:firstLineChars="200"/>
              <w:jc w:val="lef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trPr>
        <w:tc>
          <w:tcPr>
            <w:tcW w:w="732" w:type="dxa"/>
            <w:vAlign w:val="center"/>
          </w:tcPr>
          <w:p>
            <w:pPr>
              <w:spacing w:line="72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p>
        </w:tc>
        <w:tc>
          <w:tcPr>
            <w:tcW w:w="1428" w:type="pct"/>
            <w:vAlign w:val="center"/>
          </w:tcPr>
          <w:p>
            <w:pPr>
              <w:spacing w:line="360" w:lineRule="auto"/>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单台空水冷设备水流量</w:t>
            </w:r>
          </w:p>
        </w:tc>
        <w:tc>
          <w:tcPr>
            <w:tcW w:w="2443" w:type="pct"/>
            <w:vAlign w:val="center"/>
          </w:tcPr>
          <w:p>
            <w:pPr>
              <w:spacing w:line="360" w:lineRule="auto"/>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 xml:space="preserve">* </w:t>
            </w:r>
            <w:r>
              <w:rPr>
                <w:rFonts w:hint="eastAsia" w:ascii="仿宋_GB2312" w:hAnsi="仿宋_GB2312" w:eastAsia="仿宋_GB2312" w:cs="仿宋_GB2312"/>
                <w:kern w:val="0"/>
                <w:sz w:val="24"/>
                <w:highlight w:val="none"/>
              </w:rPr>
              <w:t>m³/h</w:t>
            </w:r>
          </w:p>
          <w:p>
            <w:pPr>
              <w:spacing w:line="360" w:lineRule="auto"/>
              <w:jc w:val="center"/>
              <w:rPr>
                <w:rFonts w:hint="eastAsia" w:ascii="仿宋_GB2312" w:hAnsi="仿宋_GB2312" w:eastAsia="仿宋_GB2312" w:cs="仿宋_GB2312"/>
                <w:kern w:val="0"/>
                <w:sz w:val="24"/>
                <w:highlight w:val="none"/>
              </w:rPr>
            </w:pPr>
          </w:p>
          <w:p>
            <w:pPr>
              <w:spacing w:line="360" w:lineRule="auto"/>
              <w:jc w:val="center"/>
              <w:rPr>
                <w:rFonts w:hint="eastAsia" w:ascii="仿宋_GB2312" w:hAnsi="仿宋_GB2312" w:eastAsia="仿宋_GB2312" w:cs="仿宋_GB2312"/>
                <w:kern w:val="0"/>
                <w:sz w:val="24"/>
                <w:highlight w:val="none"/>
              </w:rPr>
            </w:pPr>
          </w:p>
          <w:p>
            <w:pPr>
              <w:spacing w:line="360" w:lineRule="auto"/>
              <w:jc w:val="center"/>
              <w:rPr>
                <w:rFonts w:hint="eastAsia" w:ascii="仿宋_GB2312" w:hAnsi="仿宋_GB2312" w:eastAsia="仿宋_GB2312" w:cs="仿宋_GB2312"/>
                <w:kern w:val="0"/>
                <w:sz w:val="24"/>
                <w:highlight w:val="none"/>
              </w:rPr>
            </w:pPr>
          </w:p>
        </w:tc>
        <w:tc>
          <w:tcPr>
            <w:tcW w:w="693" w:type="pct"/>
            <w:vAlign w:val="center"/>
          </w:tcPr>
          <w:p>
            <w:pPr>
              <w:spacing w:line="360" w:lineRule="auto"/>
              <w:ind w:firstLine="560" w:firstLineChars="200"/>
              <w:jc w:val="lef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435" w:type="pct"/>
            <w:vAlign w:val="center"/>
          </w:tcPr>
          <w:p>
            <w:pPr>
              <w:spacing w:line="72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w:t>
            </w:r>
          </w:p>
        </w:tc>
        <w:tc>
          <w:tcPr>
            <w:tcW w:w="1428" w:type="pct"/>
            <w:vAlign w:val="center"/>
          </w:tcPr>
          <w:p>
            <w:pPr>
              <w:spacing w:line="360" w:lineRule="auto"/>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空水冷设备进出水管径</w:t>
            </w:r>
          </w:p>
        </w:tc>
        <w:tc>
          <w:tcPr>
            <w:tcW w:w="2443" w:type="pct"/>
            <w:vAlign w:val="center"/>
          </w:tcPr>
          <w:p>
            <w:pPr>
              <w:spacing w:line="360" w:lineRule="auto"/>
              <w:jc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w:t>
            </w:r>
          </w:p>
        </w:tc>
        <w:tc>
          <w:tcPr>
            <w:tcW w:w="693" w:type="pct"/>
            <w:vAlign w:val="center"/>
          </w:tcPr>
          <w:p>
            <w:pPr>
              <w:spacing w:line="720" w:lineRule="auto"/>
              <w:jc w:val="left"/>
              <w:rPr>
                <w:rFonts w:hint="eastAsia" w:ascii="仿宋" w:hAnsi="仿宋" w:eastAsia="仿宋" w:cs="仿宋"/>
                <w:sz w:val="28"/>
                <w:szCs w:val="28"/>
                <w:highlight w:val="none"/>
                <w:lang w:val="en-US" w:eastAsia="zh-CN"/>
              </w:rPr>
            </w:pPr>
          </w:p>
        </w:tc>
      </w:tr>
    </w:tbl>
    <w:p>
      <w:pPr>
        <w:rPr>
          <w:rFonts w:hint="eastAsia"/>
        </w:rPr>
      </w:pPr>
    </w:p>
    <w:p>
      <w:pPr>
        <w:numPr>
          <w:ilvl w:val="0"/>
          <w:numId w:val="0"/>
        </w:numPr>
        <w:spacing w:line="720" w:lineRule="auto"/>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注：</w:t>
      </w:r>
      <w:r>
        <w:rPr>
          <w:rFonts w:ascii="仿宋" w:hAnsi="仿宋" w:eastAsia="仿宋" w:cs="仿宋"/>
          <w:b w:val="0"/>
          <w:bCs w:val="0"/>
          <w:sz w:val="28"/>
          <w:szCs w:val="28"/>
        </w:rPr>
        <w:t>*</w:t>
      </w:r>
      <w:r>
        <w:rPr>
          <w:rFonts w:hint="eastAsia" w:ascii="仿宋" w:hAnsi="仿宋" w:eastAsia="仿宋" w:cs="仿宋"/>
          <w:b w:val="0"/>
          <w:bCs w:val="0"/>
          <w:sz w:val="28"/>
          <w:szCs w:val="28"/>
        </w:rPr>
        <w:t>为</w:t>
      </w:r>
      <w:r>
        <w:rPr>
          <w:rFonts w:hint="eastAsia" w:ascii="仿宋" w:hAnsi="仿宋" w:eastAsia="仿宋" w:cs="仿宋"/>
          <w:b w:val="0"/>
          <w:bCs w:val="0"/>
          <w:sz w:val="28"/>
          <w:szCs w:val="28"/>
          <w:lang w:eastAsia="zh-CN"/>
        </w:rPr>
        <w:t>供应商</w:t>
      </w:r>
      <w:r>
        <w:rPr>
          <w:rFonts w:hint="eastAsia" w:ascii="仿宋" w:hAnsi="仿宋" w:eastAsia="仿宋" w:cs="仿宋"/>
          <w:b w:val="0"/>
          <w:bCs w:val="0"/>
          <w:sz w:val="28"/>
          <w:szCs w:val="28"/>
        </w:rPr>
        <w:t>确定</w:t>
      </w:r>
      <w:r>
        <w:rPr>
          <w:rFonts w:hint="eastAsia" w:ascii="仿宋" w:hAnsi="仿宋" w:eastAsia="仿宋" w:cs="仿宋"/>
          <w:b w:val="0"/>
          <w:bCs w:val="0"/>
          <w:sz w:val="28"/>
          <w:szCs w:val="28"/>
          <w:lang w:eastAsia="zh-CN"/>
        </w:rPr>
        <w:t>并填写</w:t>
      </w:r>
      <w:r>
        <w:rPr>
          <w:rFonts w:hint="eastAsia" w:ascii="仿宋" w:hAnsi="仿宋" w:eastAsia="仿宋" w:cs="仿宋"/>
          <w:b w:val="0"/>
          <w:bCs w:val="0"/>
          <w:sz w:val="28"/>
          <w:szCs w:val="28"/>
        </w:rPr>
        <w:t>。</w:t>
      </w:r>
    </w:p>
    <w:p>
      <w:pPr>
        <w:numPr>
          <w:ilvl w:val="0"/>
          <w:numId w:val="0"/>
        </w:numPr>
        <w:spacing w:line="720" w:lineRule="auto"/>
        <w:jc w:val="both"/>
        <w:rPr>
          <w:rFonts w:hint="eastAsia" w:ascii="宋体" w:hAnsi="宋体" w:eastAsia="宋体" w:cs="宋体"/>
          <w:b/>
          <w:bCs/>
          <w:sz w:val="24"/>
          <w:szCs w:val="24"/>
          <w:highlight w:val="yellow"/>
          <w:lang w:eastAsia="zh-CN"/>
        </w:rPr>
      </w:pPr>
    </w:p>
    <w:p>
      <w:pPr>
        <w:numPr>
          <w:ilvl w:val="0"/>
          <w:numId w:val="0"/>
        </w:numPr>
        <w:spacing w:line="720" w:lineRule="auto"/>
        <w:jc w:val="both"/>
        <w:rPr>
          <w:rFonts w:hint="eastAsia" w:ascii="宋体" w:hAnsi="宋体" w:eastAsia="宋体" w:cs="宋体"/>
          <w:b/>
          <w:bCs/>
          <w:sz w:val="24"/>
          <w:szCs w:val="24"/>
          <w:highlight w:val="yellow"/>
          <w:lang w:eastAsia="zh-CN"/>
        </w:rPr>
      </w:pPr>
    </w:p>
    <w:p>
      <w:pPr>
        <w:numPr>
          <w:ilvl w:val="0"/>
          <w:numId w:val="0"/>
        </w:numPr>
        <w:spacing w:line="720" w:lineRule="auto"/>
        <w:jc w:val="both"/>
        <w:rPr>
          <w:rFonts w:hint="eastAsia" w:ascii="宋体" w:hAnsi="宋体" w:eastAsia="宋体" w:cs="宋体"/>
          <w:b/>
          <w:bCs/>
          <w:sz w:val="24"/>
          <w:szCs w:val="24"/>
          <w:highlight w:val="yellow"/>
          <w:lang w:eastAsia="zh-CN"/>
        </w:rPr>
      </w:pPr>
    </w:p>
    <w:p>
      <w:pPr>
        <w:numPr>
          <w:ilvl w:val="0"/>
          <w:numId w:val="0"/>
        </w:numPr>
        <w:spacing w:line="240" w:lineRule="auto"/>
        <w:jc w:val="both"/>
        <w:rPr>
          <w:rFonts w:hint="eastAsia" w:ascii="宋体" w:hAnsi="宋体" w:eastAsia="宋体" w:cs="宋体"/>
          <w:b/>
          <w:bCs/>
          <w:sz w:val="30"/>
          <w:szCs w:val="30"/>
          <w:highlight w:val="none"/>
          <w:lang w:val="en-US" w:eastAsia="zh-CN"/>
        </w:rPr>
      </w:pPr>
      <w:r>
        <w:rPr>
          <w:rFonts w:hint="eastAsia" w:ascii="宋体" w:hAnsi="宋体" w:eastAsia="宋体" w:cs="宋体"/>
          <w:b/>
          <w:bCs/>
          <w:sz w:val="24"/>
          <w:szCs w:val="24"/>
          <w:highlight w:val="none"/>
          <w:lang w:eastAsia="zh-CN"/>
        </w:rPr>
        <w:t>附表三：</w:t>
      </w:r>
    </w:p>
    <w:p>
      <w:pPr>
        <w:numPr>
          <w:ilvl w:val="0"/>
          <w:numId w:val="0"/>
        </w:numPr>
        <w:spacing w:line="240" w:lineRule="auto"/>
        <w:ind w:firstLine="3012" w:firstLineChars="1000"/>
        <w:jc w:val="both"/>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逆流式闭式冷却塔</w:t>
      </w:r>
      <w:r>
        <w:rPr>
          <w:rFonts w:hint="eastAsia" w:ascii="宋体" w:hAnsi="宋体" w:cs="宋体"/>
          <w:b/>
          <w:bCs/>
          <w:sz w:val="30"/>
          <w:szCs w:val="30"/>
          <w:highlight w:val="none"/>
        </w:rPr>
        <w:t>技术</w:t>
      </w:r>
      <w:r>
        <w:rPr>
          <w:rFonts w:hint="eastAsia" w:ascii="宋体" w:hAnsi="宋体" w:eastAsia="宋体" w:cs="宋体"/>
          <w:b/>
          <w:bCs/>
          <w:sz w:val="30"/>
          <w:szCs w:val="30"/>
          <w:highlight w:val="none"/>
        </w:rPr>
        <w:t>参数</w:t>
      </w:r>
    </w:p>
    <w:tbl>
      <w:tblPr>
        <w:tblStyle w:val="18"/>
        <w:tblpPr w:leftFromText="180" w:rightFromText="180" w:vertAnchor="text" w:horzAnchor="page" w:tblpX="1563" w:tblpY="1079"/>
        <w:tblOverlap w:val="never"/>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57"/>
        <w:gridCol w:w="2305"/>
        <w:gridCol w:w="669"/>
        <w:gridCol w:w="2871"/>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638" w:type="dxa"/>
            <w:vAlign w:val="center"/>
          </w:tcPr>
          <w:p>
            <w:pPr>
              <w:spacing w:line="360" w:lineRule="auto"/>
              <w:jc w:val="center"/>
              <w:rPr>
                <w:rFonts w:hint="eastAsia" w:ascii="楷体" w:hAnsi="楷体" w:eastAsia="楷体" w:cs="楷体"/>
                <w:sz w:val="24"/>
                <w:szCs w:val="22"/>
                <w:highlight w:val="none"/>
                <w:lang w:eastAsia="zh-CN"/>
              </w:rPr>
            </w:pPr>
            <w:r>
              <w:rPr>
                <w:rFonts w:hint="eastAsia" w:ascii="仿宋" w:hAnsi="仿宋" w:eastAsia="仿宋" w:cs="仿宋"/>
                <w:sz w:val="21"/>
                <w:szCs w:val="21"/>
                <w:highlight w:val="none"/>
                <w:lang w:eastAsia="zh-CN"/>
              </w:rPr>
              <w:t>序号</w:t>
            </w:r>
          </w:p>
        </w:tc>
        <w:tc>
          <w:tcPr>
            <w:tcW w:w="3462" w:type="dxa"/>
            <w:gridSpan w:val="2"/>
            <w:vAlign w:val="center"/>
          </w:tcPr>
          <w:p>
            <w:pPr>
              <w:adjustRightInd w:val="0"/>
              <w:snapToGrid w:val="0"/>
              <w:spacing w:line="360" w:lineRule="auto"/>
              <w:jc w:val="center"/>
              <w:rPr>
                <w:rFonts w:hint="eastAsia" w:ascii="楷体" w:hAnsi="楷体" w:eastAsia="楷体" w:cs="楷体"/>
                <w:sz w:val="24"/>
                <w:szCs w:val="22"/>
                <w:highlight w:val="none"/>
                <w:lang w:eastAsia="zh-CN"/>
              </w:rPr>
            </w:pPr>
            <w:r>
              <w:rPr>
                <w:rFonts w:hint="eastAsia" w:ascii="仿宋_GB2312" w:hAnsi="仿宋_GB2312" w:eastAsia="仿宋_GB2312" w:cs="仿宋_GB2312"/>
                <w:kern w:val="0"/>
                <w:sz w:val="24"/>
                <w:highlight w:val="none"/>
                <w:lang w:eastAsia="zh-CN"/>
              </w:rPr>
              <w:t>项目名称</w:t>
            </w:r>
          </w:p>
        </w:tc>
        <w:tc>
          <w:tcPr>
            <w:tcW w:w="3540" w:type="dxa"/>
            <w:gridSpan w:val="2"/>
            <w:vAlign w:val="center"/>
          </w:tcPr>
          <w:p>
            <w:pPr>
              <w:adjustRightInd w:val="0"/>
              <w:snapToGrid w:val="0"/>
              <w:spacing w:line="360" w:lineRule="auto"/>
              <w:jc w:val="center"/>
              <w:rPr>
                <w:rFonts w:hint="eastAsia" w:ascii="楷体" w:hAnsi="楷体" w:eastAsia="楷体" w:cs="楷体"/>
                <w:sz w:val="24"/>
                <w:szCs w:val="22"/>
                <w:highlight w:val="none"/>
                <w:lang w:val="en-US" w:eastAsia="zh-CN"/>
              </w:rPr>
            </w:pPr>
            <w:r>
              <w:rPr>
                <w:rFonts w:hint="eastAsia" w:ascii="楷体" w:hAnsi="楷体" w:eastAsia="楷体" w:cs="楷体"/>
                <w:sz w:val="24"/>
                <w:szCs w:val="22"/>
                <w:highlight w:val="none"/>
                <w:lang w:eastAsia="zh-CN"/>
              </w:rPr>
              <w:t>型号</w:t>
            </w:r>
            <w:r>
              <w:rPr>
                <w:rFonts w:hint="eastAsia" w:ascii="仿宋_GB2312" w:hAnsi="仿宋_GB2312" w:eastAsia="仿宋_GB2312" w:cs="仿宋_GB2312"/>
                <w:kern w:val="0"/>
                <w:sz w:val="24"/>
                <w:highlight w:val="none"/>
                <w:lang w:eastAsia="zh-CN"/>
              </w:rPr>
              <w:t>技术参数规格尺寸</w:t>
            </w:r>
          </w:p>
        </w:tc>
        <w:tc>
          <w:tcPr>
            <w:tcW w:w="1209" w:type="dxa"/>
            <w:vAlign w:val="center"/>
          </w:tcPr>
          <w:p>
            <w:pPr>
              <w:adjustRightInd w:val="0"/>
              <w:snapToGrid w:val="0"/>
              <w:spacing w:line="360" w:lineRule="auto"/>
              <w:jc w:val="center"/>
              <w:rPr>
                <w:rFonts w:hint="eastAsia" w:ascii="楷体" w:hAnsi="楷体" w:eastAsia="楷体" w:cs="楷体"/>
                <w:sz w:val="24"/>
                <w:szCs w:val="22"/>
                <w:highlight w:val="none"/>
                <w:lang w:val="en-US" w:eastAsia="zh-CN"/>
              </w:rPr>
            </w:pPr>
            <w:r>
              <w:rPr>
                <w:rFonts w:hint="eastAsia" w:ascii="仿宋_GB2312" w:hAnsi="仿宋_GB2312" w:eastAsia="仿宋_GB2312" w:cs="仿宋_GB2312"/>
                <w:kern w:val="0"/>
                <w:sz w:val="24"/>
                <w:highlight w:val="no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38" w:type="dxa"/>
          </w:tcPr>
          <w:p>
            <w:pPr>
              <w:spacing w:line="720" w:lineRule="auto"/>
              <w:jc w:val="center"/>
              <w:rPr>
                <w:rFonts w:hint="default" w:ascii="楷体" w:hAnsi="楷体" w:eastAsia="楷体" w:cs="楷体"/>
                <w:sz w:val="24"/>
                <w:szCs w:val="22"/>
                <w:highlight w:val="none"/>
                <w:lang w:val="en-US" w:eastAsia="zh-CN"/>
              </w:rPr>
            </w:pPr>
            <w:r>
              <w:rPr>
                <w:rFonts w:hint="eastAsia" w:ascii="楷体" w:hAnsi="楷体" w:eastAsia="楷体" w:cs="楷体"/>
                <w:sz w:val="24"/>
                <w:szCs w:val="22"/>
                <w:highlight w:val="none"/>
                <w:lang w:val="en-US" w:eastAsia="zh-CN"/>
              </w:rPr>
              <w:t>1</w:t>
            </w:r>
          </w:p>
        </w:tc>
        <w:tc>
          <w:tcPr>
            <w:tcW w:w="3462" w:type="dxa"/>
            <w:gridSpan w:val="2"/>
          </w:tcPr>
          <w:p>
            <w:pPr>
              <w:spacing w:line="480" w:lineRule="auto"/>
              <w:jc w:val="center"/>
              <w:rPr>
                <w:rFonts w:hint="eastAsia" w:ascii="楷体" w:hAnsi="楷体" w:eastAsia="楷体" w:cs="楷体"/>
                <w:sz w:val="24"/>
                <w:szCs w:val="22"/>
                <w:highlight w:val="none"/>
                <w:lang w:eastAsia="zh-CN"/>
              </w:rPr>
            </w:pPr>
            <w:r>
              <w:rPr>
                <w:rFonts w:hint="eastAsia" w:ascii="楷体" w:hAnsi="楷体" w:eastAsia="楷体" w:cs="楷体"/>
                <w:sz w:val="24"/>
                <w:szCs w:val="22"/>
                <w:highlight w:val="none"/>
                <w:lang w:eastAsia="zh-CN"/>
              </w:rPr>
              <w:t>配置冷却塔</w:t>
            </w:r>
          </w:p>
        </w:tc>
        <w:tc>
          <w:tcPr>
            <w:tcW w:w="3540" w:type="dxa"/>
            <w:gridSpan w:val="2"/>
          </w:tcPr>
          <w:p>
            <w:pPr>
              <w:pStyle w:val="2"/>
              <w:spacing w:before="0" w:beforeLines="0" w:after="0" w:afterLines="0"/>
              <w:ind w:left="0" w:leftChars="0"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p>
          <w:p>
            <w:pPr>
              <w:spacing w:line="720" w:lineRule="auto"/>
              <w:jc w:val="center"/>
              <w:rPr>
                <w:rFonts w:hint="eastAsia" w:ascii="楷体" w:hAnsi="楷体" w:eastAsia="楷体" w:cs="楷体"/>
                <w:sz w:val="24"/>
                <w:szCs w:val="22"/>
                <w:highlight w:val="none"/>
                <w:lang w:val="en-US" w:eastAsia="zh-CN"/>
              </w:rPr>
            </w:pPr>
          </w:p>
        </w:tc>
        <w:tc>
          <w:tcPr>
            <w:tcW w:w="1209" w:type="dxa"/>
          </w:tcPr>
          <w:p>
            <w:pPr>
              <w:pStyle w:val="2"/>
              <w:spacing w:before="0" w:beforeLines="0" w:after="0" w:afterLines="0"/>
              <w:ind w:left="0" w:leftChars="0"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p>
          <w:p>
            <w:pPr>
              <w:spacing w:line="720" w:lineRule="auto"/>
              <w:jc w:val="center"/>
              <w:rPr>
                <w:rFonts w:hint="eastAsia" w:ascii="楷体" w:hAnsi="楷体" w:eastAsia="楷体" w:cs="楷体"/>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638" w:type="dxa"/>
          </w:tcPr>
          <w:p>
            <w:pPr>
              <w:spacing w:line="360" w:lineRule="auto"/>
              <w:jc w:val="center"/>
              <w:rPr>
                <w:rFonts w:hint="eastAsia" w:ascii="楷体" w:hAnsi="楷体" w:eastAsia="楷体" w:cs="楷体"/>
                <w:sz w:val="24"/>
                <w:szCs w:val="22"/>
                <w:highlight w:val="none"/>
                <w:lang w:val="en-US" w:eastAsia="zh-CN"/>
              </w:rPr>
            </w:pPr>
            <w:r>
              <w:rPr>
                <w:rFonts w:hint="eastAsia" w:ascii="楷体" w:hAnsi="楷体" w:eastAsia="楷体" w:cs="楷体"/>
                <w:sz w:val="24"/>
                <w:szCs w:val="22"/>
                <w:highlight w:val="none"/>
                <w:lang w:val="en-US" w:eastAsia="zh-CN"/>
              </w:rPr>
              <w:t>2</w:t>
            </w:r>
          </w:p>
        </w:tc>
        <w:tc>
          <w:tcPr>
            <w:tcW w:w="3462" w:type="dxa"/>
            <w:gridSpan w:val="2"/>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rPr>
              <w:t>工作流量</w:t>
            </w:r>
          </w:p>
        </w:tc>
        <w:tc>
          <w:tcPr>
            <w:tcW w:w="3540" w:type="dxa"/>
            <w:gridSpan w:val="2"/>
          </w:tcPr>
          <w:p>
            <w:pPr>
              <w:spacing w:line="360" w:lineRule="auto"/>
              <w:jc w:val="center"/>
              <w:rPr>
                <w:rFonts w:ascii="楷体" w:hAnsi="楷体" w:eastAsia="楷体" w:cs="楷体"/>
                <w:sz w:val="24"/>
                <w:szCs w:val="22"/>
                <w:highlight w:val="none"/>
              </w:rPr>
            </w:pPr>
            <w:r>
              <w:rPr>
                <w:rFonts w:hint="eastAsia" w:ascii="仿宋" w:hAnsi="仿宋" w:eastAsia="仿宋" w:cs="仿宋"/>
                <w:sz w:val="28"/>
                <w:szCs w:val="28"/>
                <w:highlight w:val="none"/>
                <w:lang w:val="en-US" w:eastAsia="zh-CN"/>
              </w:rPr>
              <w:t xml:space="preserve">* </w:t>
            </w:r>
            <w:r>
              <w:rPr>
                <w:rFonts w:ascii="楷体" w:hAnsi="楷体" w:eastAsia="楷体" w:cs="楷体"/>
                <w:sz w:val="24"/>
                <w:szCs w:val="22"/>
                <w:highlight w:val="none"/>
              </w:rPr>
              <w:t>m</w:t>
            </w:r>
            <w:r>
              <w:rPr>
                <w:rFonts w:hint="eastAsia" w:ascii="宋体" w:hAnsi="宋体" w:cs="宋体"/>
                <w:sz w:val="24"/>
                <w:szCs w:val="22"/>
                <w:highlight w:val="none"/>
              </w:rPr>
              <w:t>³</w:t>
            </w:r>
            <w:r>
              <w:rPr>
                <w:rFonts w:ascii="楷体" w:hAnsi="楷体" w:eastAsia="楷体" w:cs="楷体"/>
                <w:sz w:val="24"/>
                <w:szCs w:val="22"/>
                <w:highlight w:val="none"/>
              </w:rPr>
              <w:t>/h</w:t>
            </w:r>
          </w:p>
          <w:p>
            <w:pPr>
              <w:spacing w:line="360" w:lineRule="auto"/>
              <w:ind w:firstLine="480" w:firstLineChars="200"/>
              <w:jc w:val="center"/>
              <w:rPr>
                <w:rFonts w:ascii="楷体" w:hAnsi="楷体" w:eastAsia="楷体" w:cs="楷体"/>
                <w:sz w:val="24"/>
                <w:szCs w:val="22"/>
                <w:highlight w:val="none"/>
              </w:rPr>
            </w:pPr>
          </w:p>
          <w:p>
            <w:pPr>
              <w:spacing w:line="360" w:lineRule="auto"/>
              <w:ind w:firstLine="480" w:firstLineChars="200"/>
              <w:jc w:val="center"/>
              <w:rPr>
                <w:rFonts w:ascii="楷体" w:hAnsi="楷体" w:eastAsia="楷体" w:cs="楷体"/>
                <w:sz w:val="24"/>
                <w:szCs w:val="22"/>
                <w:highlight w:val="none"/>
              </w:rPr>
            </w:pPr>
          </w:p>
        </w:tc>
        <w:tc>
          <w:tcPr>
            <w:tcW w:w="1209" w:type="dxa"/>
          </w:tcPr>
          <w:p>
            <w:pPr>
              <w:spacing w:line="360" w:lineRule="auto"/>
              <w:ind w:firstLine="480" w:firstLineChars="200"/>
              <w:jc w:val="center"/>
              <w:rPr>
                <w:rFonts w:ascii="楷体" w:hAnsi="楷体" w:eastAsia="楷体" w:cs="楷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638" w:type="dxa"/>
            <w:vMerge w:val="restart"/>
            <w:vAlign w:val="center"/>
          </w:tcPr>
          <w:p>
            <w:pPr>
              <w:spacing w:line="360" w:lineRule="auto"/>
              <w:jc w:val="center"/>
              <w:rPr>
                <w:rFonts w:hint="default" w:ascii="楷体" w:hAnsi="楷体" w:eastAsia="楷体" w:cs="楷体"/>
                <w:sz w:val="24"/>
                <w:szCs w:val="22"/>
                <w:highlight w:val="none"/>
                <w:lang w:val="en-US" w:eastAsia="zh-CN"/>
              </w:rPr>
            </w:pPr>
            <w:r>
              <w:rPr>
                <w:rFonts w:hint="eastAsia" w:ascii="楷体" w:hAnsi="楷体" w:eastAsia="楷体" w:cs="楷体"/>
                <w:sz w:val="24"/>
                <w:szCs w:val="22"/>
                <w:highlight w:val="none"/>
                <w:lang w:val="en-US" w:eastAsia="zh-CN"/>
              </w:rPr>
              <w:t>3</w:t>
            </w:r>
          </w:p>
        </w:tc>
        <w:tc>
          <w:tcPr>
            <w:tcW w:w="1157" w:type="dxa"/>
            <w:vMerge w:val="restart"/>
            <w:vAlign w:val="center"/>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rPr>
              <w:t>排风</w:t>
            </w:r>
            <w:r>
              <w:rPr>
                <w:rFonts w:hint="eastAsia" w:ascii="楷体" w:hAnsi="楷体" w:eastAsia="楷体" w:cs="楷体"/>
                <w:sz w:val="24"/>
                <w:szCs w:val="22"/>
                <w:highlight w:val="none"/>
                <w:lang w:val="en-US" w:eastAsia="zh-CN"/>
              </w:rPr>
              <w:t xml:space="preserve">  </w:t>
            </w:r>
            <w:r>
              <w:rPr>
                <w:rFonts w:hint="eastAsia" w:ascii="楷体" w:hAnsi="楷体" w:eastAsia="楷体" w:cs="楷体"/>
                <w:sz w:val="24"/>
                <w:szCs w:val="22"/>
                <w:highlight w:val="none"/>
              </w:rPr>
              <w:t>系统</w:t>
            </w:r>
          </w:p>
        </w:tc>
        <w:tc>
          <w:tcPr>
            <w:tcW w:w="2305" w:type="dxa"/>
            <w:vAlign w:val="center"/>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rPr>
              <w:t>功率</w:t>
            </w:r>
          </w:p>
        </w:tc>
        <w:tc>
          <w:tcPr>
            <w:tcW w:w="3540" w:type="dxa"/>
            <w:gridSpan w:val="2"/>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lang w:val="en-US" w:eastAsia="zh-CN"/>
              </w:rPr>
              <w:t>*</w:t>
            </w:r>
          </w:p>
        </w:tc>
        <w:tc>
          <w:tcPr>
            <w:tcW w:w="1209" w:type="dxa"/>
          </w:tcPr>
          <w:p>
            <w:pPr>
              <w:spacing w:line="360" w:lineRule="auto"/>
              <w:jc w:val="center"/>
              <w:rPr>
                <w:rFonts w:hint="eastAsia" w:ascii="楷体" w:hAnsi="楷体" w:eastAsia="楷体" w:cs="楷体"/>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638" w:type="dxa"/>
            <w:vMerge w:val="continue"/>
            <w:vAlign w:val="center"/>
          </w:tcPr>
          <w:p>
            <w:pPr>
              <w:spacing w:line="360" w:lineRule="auto"/>
              <w:jc w:val="center"/>
              <w:rPr>
                <w:rFonts w:ascii="楷体" w:hAnsi="楷体" w:eastAsia="楷体" w:cs="楷体"/>
                <w:sz w:val="24"/>
                <w:szCs w:val="22"/>
                <w:highlight w:val="none"/>
              </w:rPr>
            </w:pPr>
          </w:p>
        </w:tc>
        <w:tc>
          <w:tcPr>
            <w:tcW w:w="1157" w:type="dxa"/>
            <w:vMerge w:val="continue"/>
            <w:vAlign w:val="center"/>
          </w:tcPr>
          <w:p>
            <w:pPr>
              <w:spacing w:line="360" w:lineRule="auto"/>
              <w:jc w:val="center"/>
              <w:rPr>
                <w:rFonts w:ascii="楷体" w:hAnsi="楷体" w:eastAsia="楷体" w:cs="楷体"/>
                <w:sz w:val="24"/>
                <w:szCs w:val="22"/>
                <w:highlight w:val="none"/>
              </w:rPr>
            </w:pPr>
          </w:p>
        </w:tc>
        <w:tc>
          <w:tcPr>
            <w:tcW w:w="2305" w:type="dxa"/>
            <w:vAlign w:val="center"/>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rPr>
              <w:t>风量</w:t>
            </w:r>
          </w:p>
        </w:tc>
        <w:tc>
          <w:tcPr>
            <w:tcW w:w="3540" w:type="dxa"/>
            <w:gridSpan w:val="2"/>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lang w:val="en-US" w:eastAsia="zh-CN"/>
              </w:rPr>
              <w:t xml:space="preserve">*  </w:t>
            </w:r>
            <w:r>
              <w:rPr>
                <w:rFonts w:ascii="楷体" w:hAnsi="楷体" w:eastAsia="楷体" w:cs="楷体"/>
                <w:sz w:val="24"/>
                <w:szCs w:val="22"/>
                <w:highlight w:val="none"/>
              </w:rPr>
              <w:t>m</w:t>
            </w:r>
            <w:r>
              <w:rPr>
                <w:rFonts w:ascii="楷体" w:hAnsi="楷体" w:eastAsia="楷体" w:cs="楷体"/>
                <w:sz w:val="24"/>
                <w:szCs w:val="22"/>
                <w:highlight w:val="none"/>
                <w:vertAlign w:val="superscript"/>
              </w:rPr>
              <w:t>3</w:t>
            </w:r>
            <w:r>
              <w:rPr>
                <w:rFonts w:ascii="楷体" w:hAnsi="楷体" w:eastAsia="楷体" w:cs="楷体"/>
                <w:sz w:val="24"/>
                <w:szCs w:val="22"/>
                <w:highlight w:val="none"/>
              </w:rPr>
              <w:t>/h</w:t>
            </w:r>
          </w:p>
        </w:tc>
        <w:tc>
          <w:tcPr>
            <w:tcW w:w="1209" w:type="dxa"/>
          </w:tcPr>
          <w:p>
            <w:pPr>
              <w:spacing w:line="360" w:lineRule="auto"/>
              <w:jc w:val="center"/>
              <w:rPr>
                <w:rFonts w:hint="eastAsia" w:ascii="楷体" w:hAnsi="楷体" w:eastAsia="楷体" w:cs="楷体"/>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638" w:type="dxa"/>
            <w:vMerge w:val="continue"/>
            <w:vAlign w:val="center"/>
          </w:tcPr>
          <w:p>
            <w:pPr>
              <w:spacing w:line="360" w:lineRule="auto"/>
              <w:jc w:val="center"/>
              <w:rPr>
                <w:rFonts w:ascii="楷体" w:hAnsi="楷体" w:eastAsia="楷体" w:cs="楷体"/>
                <w:sz w:val="24"/>
                <w:szCs w:val="22"/>
                <w:highlight w:val="none"/>
              </w:rPr>
            </w:pPr>
          </w:p>
        </w:tc>
        <w:tc>
          <w:tcPr>
            <w:tcW w:w="1157" w:type="dxa"/>
            <w:vMerge w:val="continue"/>
            <w:vAlign w:val="center"/>
          </w:tcPr>
          <w:p>
            <w:pPr>
              <w:spacing w:line="360" w:lineRule="auto"/>
              <w:jc w:val="center"/>
              <w:rPr>
                <w:rFonts w:ascii="楷体" w:hAnsi="楷体" w:eastAsia="楷体" w:cs="楷体"/>
                <w:sz w:val="24"/>
                <w:szCs w:val="22"/>
                <w:highlight w:val="none"/>
              </w:rPr>
            </w:pPr>
          </w:p>
        </w:tc>
        <w:tc>
          <w:tcPr>
            <w:tcW w:w="2305" w:type="dxa"/>
            <w:vAlign w:val="center"/>
          </w:tcPr>
          <w:p>
            <w:pPr>
              <w:pStyle w:val="2"/>
              <w:spacing w:before="0" w:beforeLines="0" w:after="0" w:afterLines="0"/>
              <w:ind w:left="0" w:leftChars="0" w:firstLine="480" w:firstLineChars="200"/>
              <w:jc w:val="center"/>
              <w:rPr>
                <w:rFonts w:hint="eastAsia" w:ascii="仿宋" w:hAnsi="仿宋" w:eastAsia="仿宋" w:cs="仿宋"/>
                <w:sz w:val="28"/>
                <w:szCs w:val="28"/>
                <w:highlight w:val="none"/>
                <w:lang w:val="en-US" w:eastAsia="zh-CN"/>
              </w:rPr>
            </w:pPr>
            <w:r>
              <w:rPr>
                <w:rFonts w:hint="eastAsia" w:ascii="楷体" w:hAnsi="楷体" w:eastAsia="楷体" w:cs="楷体"/>
                <w:sz w:val="24"/>
                <w:szCs w:val="22"/>
                <w:highlight w:val="none"/>
                <w:lang w:eastAsia="zh-CN"/>
              </w:rPr>
              <w:t>风机</w:t>
            </w:r>
            <w:r>
              <w:rPr>
                <w:rFonts w:hint="eastAsia" w:ascii="宋体" w:hAnsi="宋体" w:eastAsia="宋体" w:cs="宋体"/>
                <w:kern w:val="2"/>
                <w:sz w:val="21"/>
                <w:szCs w:val="21"/>
                <w:highlight w:val="none"/>
                <w:lang w:val="en-US" w:eastAsia="zh-CN" w:bidi="ar-SA"/>
              </w:rPr>
              <w:t>材质</w:t>
            </w:r>
          </w:p>
          <w:p>
            <w:pPr>
              <w:spacing w:line="360" w:lineRule="auto"/>
              <w:jc w:val="center"/>
              <w:rPr>
                <w:rFonts w:hint="eastAsia" w:ascii="楷体" w:hAnsi="楷体" w:eastAsia="楷体" w:cs="楷体"/>
                <w:sz w:val="24"/>
                <w:szCs w:val="22"/>
                <w:highlight w:val="none"/>
                <w:lang w:eastAsia="zh-CN"/>
              </w:rPr>
            </w:pPr>
          </w:p>
        </w:tc>
        <w:tc>
          <w:tcPr>
            <w:tcW w:w="3540" w:type="dxa"/>
            <w:gridSpan w:val="2"/>
          </w:tcPr>
          <w:p>
            <w:pPr>
              <w:pStyle w:val="2"/>
              <w:spacing w:before="0" w:beforeLines="0" w:after="0" w:afterLines="0"/>
              <w:ind w:left="0" w:leftChars="0"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p>
          <w:p>
            <w:pPr>
              <w:pStyle w:val="2"/>
              <w:spacing w:before="0" w:beforeLines="0" w:after="0" w:afterLines="0"/>
              <w:jc w:val="center"/>
              <w:rPr>
                <w:rFonts w:hint="eastAsia" w:ascii="仿宋" w:hAnsi="仿宋" w:eastAsia="仿宋" w:cs="仿宋"/>
                <w:sz w:val="28"/>
                <w:szCs w:val="28"/>
                <w:highlight w:val="none"/>
                <w:lang w:val="en-US" w:eastAsia="zh-CN"/>
              </w:rPr>
            </w:pPr>
          </w:p>
          <w:p>
            <w:pPr>
              <w:pStyle w:val="2"/>
              <w:spacing w:before="0" w:beforeLines="0" w:after="0" w:afterLines="0"/>
              <w:jc w:val="center"/>
              <w:rPr>
                <w:rFonts w:hint="eastAsia" w:ascii="仿宋" w:hAnsi="仿宋" w:eastAsia="仿宋" w:cs="仿宋"/>
                <w:sz w:val="28"/>
                <w:szCs w:val="28"/>
                <w:highlight w:val="none"/>
                <w:lang w:val="en-US" w:eastAsia="zh-CN"/>
              </w:rPr>
            </w:pPr>
          </w:p>
          <w:p>
            <w:pPr>
              <w:pStyle w:val="2"/>
              <w:spacing w:before="0" w:beforeLines="0" w:after="0" w:afterLines="0"/>
              <w:jc w:val="center"/>
              <w:rPr>
                <w:rFonts w:hint="eastAsia" w:ascii="仿宋" w:hAnsi="仿宋" w:eastAsia="仿宋" w:cs="仿宋"/>
                <w:sz w:val="28"/>
                <w:szCs w:val="28"/>
                <w:highlight w:val="none"/>
                <w:lang w:val="en-US" w:eastAsia="zh-CN"/>
              </w:rPr>
            </w:pPr>
          </w:p>
          <w:p>
            <w:pPr>
              <w:pStyle w:val="2"/>
              <w:spacing w:before="0" w:beforeLines="0" w:after="0" w:afterLines="0"/>
              <w:jc w:val="center"/>
              <w:rPr>
                <w:rFonts w:hint="eastAsia" w:ascii="仿宋" w:hAnsi="仿宋" w:eastAsia="仿宋" w:cs="仿宋"/>
                <w:sz w:val="28"/>
                <w:szCs w:val="28"/>
                <w:highlight w:val="none"/>
                <w:lang w:val="en-US" w:eastAsia="zh-CN"/>
              </w:rPr>
            </w:pPr>
          </w:p>
          <w:p>
            <w:pPr>
              <w:pStyle w:val="2"/>
              <w:spacing w:before="0" w:beforeLines="0" w:after="0" w:afterLines="0"/>
              <w:jc w:val="center"/>
              <w:rPr>
                <w:rFonts w:hint="eastAsia" w:ascii="仿宋" w:hAnsi="仿宋" w:eastAsia="仿宋" w:cs="仿宋"/>
                <w:sz w:val="28"/>
                <w:szCs w:val="28"/>
                <w:highlight w:val="none"/>
                <w:lang w:val="en-US" w:eastAsia="zh-CN"/>
              </w:rPr>
            </w:pPr>
          </w:p>
          <w:p>
            <w:pPr>
              <w:pStyle w:val="2"/>
              <w:spacing w:before="0" w:beforeLines="0" w:after="0" w:afterLines="0"/>
              <w:jc w:val="center"/>
              <w:rPr>
                <w:rFonts w:hint="default" w:ascii="仿宋" w:hAnsi="仿宋" w:eastAsia="仿宋" w:cs="仿宋"/>
                <w:sz w:val="28"/>
                <w:szCs w:val="28"/>
                <w:highlight w:val="none"/>
                <w:lang w:val="en-US" w:eastAsia="zh-CN"/>
              </w:rPr>
            </w:pPr>
          </w:p>
        </w:tc>
        <w:tc>
          <w:tcPr>
            <w:tcW w:w="1209" w:type="dxa"/>
          </w:tcPr>
          <w:p>
            <w:pPr>
              <w:pStyle w:val="2"/>
              <w:spacing w:before="0" w:beforeLines="0" w:after="0" w:afterLines="0"/>
              <w:jc w:val="center"/>
              <w:rPr>
                <w:rFonts w:hint="default" w:ascii="仿宋" w:hAnsi="仿宋" w:eastAsia="仿宋" w:cs="仿宋"/>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exact"/>
        </w:trPr>
        <w:tc>
          <w:tcPr>
            <w:tcW w:w="638" w:type="dxa"/>
            <w:vMerge w:val="continue"/>
            <w:vAlign w:val="center"/>
          </w:tcPr>
          <w:p>
            <w:pPr>
              <w:spacing w:line="360" w:lineRule="auto"/>
              <w:jc w:val="center"/>
              <w:rPr>
                <w:rFonts w:ascii="楷体" w:hAnsi="楷体" w:eastAsia="楷体" w:cs="楷体"/>
                <w:sz w:val="24"/>
                <w:szCs w:val="22"/>
                <w:highlight w:val="none"/>
              </w:rPr>
            </w:pPr>
          </w:p>
        </w:tc>
        <w:tc>
          <w:tcPr>
            <w:tcW w:w="1157" w:type="dxa"/>
            <w:vMerge w:val="continue"/>
            <w:vAlign w:val="center"/>
          </w:tcPr>
          <w:p>
            <w:pPr>
              <w:spacing w:line="360" w:lineRule="auto"/>
              <w:jc w:val="center"/>
              <w:rPr>
                <w:rFonts w:ascii="楷体" w:hAnsi="楷体" w:eastAsia="楷体" w:cs="楷体"/>
                <w:sz w:val="24"/>
                <w:szCs w:val="22"/>
                <w:highlight w:val="none"/>
              </w:rPr>
            </w:pPr>
          </w:p>
        </w:tc>
        <w:tc>
          <w:tcPr>
            <w:tcW w:w="2305" w:type="dxa"/>
            <w:vAlign w:val="center"/>
          </w:tcPr>
          <w:p>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风筒、风罩、</w:t>
            </w:r>
            <w:r>
              <w:rPr>
                <w:rFonts w:hint="eastAsia" w:ascii="宋体" w:hAnsi="宋体" w:cs="宋体"/>
                <w:sz w:val="21"/>
                <w:szCs w:val="21"/>
                <w:highlight w:val="none"/>
                <w:lang w:eastAsia="zh-CN"/>
              </w:rPr>
              <w:t>扇叶的材质</w:t>
            </w:r>
          </w:p>
          <w:p>
            <w:pPr>
              <w:spacing w:line="360" w:lineRule="auto"/>
              <w:jc w:val="center"/>
              <w:rPr>
                <w:rFonts w:hint="eastAsia" w:ascii="楷体" w:hAnsi="楷体" w:eastAsia="楷体" w:cs="楷体"/>
                <w:sz w:val="24"/>
                <w:szCs w:val="22"/>
                <w:highlight w:val="none"/>
                <w:lang w:eastAsia="zh-CN"/>
              </w:rPr>
            </w:pPr>
          </w:p>
        </w:tc>
        <w:tc>
          <w:tcPr>
            <w:tcW w:w="3540" w:type="dxa"/>
            <w:gridSpan w:val="2"/>
          </w:tcPr>
          <w:p>
            <w:pPr>
              <w:spacing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p>
          <w:p>
            <w:pPr>
              <w:spacing w:line="360" w:lineRule="auto"/>
              <w:ind w:firstLine="560" w:firstLineChars="200"/>
              <w:jc w:val="center"/>
              <w:rPr>
                <w:rFonts w:hint="eastAsia" w:ascii="仿宋" w:hAnsi="仿宋" w:eastAsia="仿宋" w:cs="仿宋"/>
                <w:sz w:val="28"/>
                <w:szCs w:val="28"/>
                <w:highlight w:val="none"/>
                <w:lang w:eastAsia="zh-CN"/>
              </w:rPr>
            </w:pPr>
          </w:p>
          <w:p>
            <w:pPr>
              <w:spacing w:line="360" w:lineRule="auto"/>
              <w:ind w:firstLine="560" w:firstLineChars="200"/>
              <w:jc w:val="center"/>
              <w:rPr>
                <w:rFonts w:hint="eastAsia" w:ascii="仿宋" w:hAnsi="仿宋" w:eastAsia="仿宋" w:cs="仿宋"/>
                <w:sz w:val="28"/>
                <w:szCs w:val="28"/>
                <w:highlight w:val="none"/>
                <w:lang w:eastAsia="zh-CN"/>
              </w:rPr>
            </w:pPr>
          </w:p>
          <w:p>
            <w:pPr>
              <w:spacing w:line="360" w:lineRule="auto"/>
              <w:ind w:firstLine="560" w:firstLineChars="200"/>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扇</w:t>
            </w:r>
          </w:p>
        </w:tc>
        <w:tc>
          <w:tcPr>
            <w:tcW w:w="1209" w:type="dxa"/>
          </w:tcPr>
          <w:p>
            <w:pPr>
              <w:spacing w:line="360" w:lineRule="auto"/>
              <w:ind w:firstLine="560" w:firstLineChars="200"/>
              <w:jc w:val="center"/>
              <w:rPr>
                <w:rFonts w:hint="eastAsia" w:ascii="仿宋" w:hAnsi="仿宋" w:eastAsia="仿宋" w:cs="仿宋"/>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638" w:type="dxa"/>
            <w:vAlign w:val="center"/>
          </w:tcPr>
          <w:p>
            <w:pPr>
              <w:spacing w:line="360" w:lineRule="auto"/>
              <w:jc w:val="center"/>
              <w:rPr>
                <w:rFonts w:hint="default" w:ascii="楷体" w:hAnsi="楷体" w:eastAsia="楷体" w:cs="楷体"/>
                <w:sz w:val="24"/>
                <w:szCs w:val="22"/>
                <w:highlight w:val="none"/>
                <w:lang w:val="en-US" w:eastAsia="zh-CN"/>
              </w:rPr>
            </w:pPr>
            <w:r>
              <w:rPr>
                <w:rFonts w:hint="eastAsia" w:ascii="楷体" w:hAnsi="楷体" w:eastAsia="楷体" w:cs="楷体"/>
                <w:sz w:val="24"/>
                <w:szCs w:val="22"/>
                <w:highlight w:val="none"/>
                <w:lang w:val="en-US" w:eastAsia="zh-CN"/>
              </w:rPr>
              <w:t>4</w:t>
            </w:r>
          </w:p>
        </w:tc>
        <w:tc>
          <w:tcPr>
            <w:tcW w:w="1157" w:type="dxa"/>
            <w:vAlign w:val="center"/>
          </w:tcPr>
          <w:p>
            <w:pPr>
              <w:spacing w:line="240" w:lineRule="auto"/>
              <w:jc w:val="left"/>
              <w:rPr>
                <w:rFonts w:hint="eastAsia" w:ascii="楷体" w:hAnsi="楷体" w:eastAsia="楷体" w:cs="楷体"/>
                <w:sz w:val="24"/>
                <w:szCs w:val="22"/>
                <w:highlight w:val="none"/>
                <w:lang w:eastAsia="zh-CN"/>
              </w:rPr>
            </w:pPr>
            <w:r>
              <w:rPr>
                <w:rFonts w:hint="eastAsia" w:ascii="楷体" w:hAnsi="楷体" w:eastAsia="楷体" w:cs="楷体"/>
                <w:sz w:val="24"/>
                <w:szCs w:val="22"/>
                <w:highlight w:val="none"/>
                <w:lang w:eastAsia="zh-CN"/>
              </w:rPr>
              <w:t>冷却能力</w:t>
            </w:r>
          </w:p>
        </w:tc>
        <w:tc>
          <w:tcPr>
            <w:tcW w:w="2305" w:type="dxa"/>
            <w:vAlign w:val="center"/>
          </w:tcPr>
          <w:p>
            <w:pPr>
              <w:spacing w:line="360" w:lineRule="auto"/>
              <w:jc w:val="center"/>
              <w:rPr>
                <w:rFonts w:hint="eastAsia" w:ascii="楷体" w:hAnsi="楷体" w:eastAsia="楷体" w:cs="楷体"/>
                <w:sz w:val="24"/>
                <w:szCs w:val="22"/>
                <w:highlight w:val="none"/>
              </w:rPr>
            </w:pPr>
            <w:r>
              <w:rPr>
                <w:sz w:val="28"/>
                <w:highlight w:val="none"/>
              </w:rPr>
              <w:t>（</w:t>
            </w:r>
            <w:r>
              <w:rPr>
                <w:rFonts w:hint="eastAsia" w:ascii="仿宋" w:eastAsia="仿宋"/>
                <w:sz w:val="28"/>
                <w:highlight w:val="none"/>
              </w:rPr>
              <w:t>kcal/h</w:t>
            </w:r>
            <w:r>
              <w:rPr>
                <w:sz w:val="28"/>
                <w:highlight w:val="none"/>
              </w:rPr>
              <w:t>）</w:t>
            </w:r>
          </w:p>
        </w:tc>
        <w:tc>
          <w:tcPr>
            <w:tcW w:w="3540" w:type="dxa"/>
            <w:gridSpan w:val="2"/>
          </w:tcPr>
          <w:p>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楷体" w:hAnsi="楷体" w:eastAsia="楷体" w:cs="楷体"/>
                <w:sz w:val="24"/>
                <w:szCs w:val="22"/>
                <w:highlight w:val="none"/>
                <w:lang w:val="en-US" w:eastAsia="zh-CN"/>
              </w:rPr>
              <w:t>*</w:t>
            </w:r>
          </w:p>
        </w:tc>
        <w:tc>
          <w:tcPr>
            <w:tcW w:w="1209" w:type="dxa"/>
          </w:tcPr>
          <w:p>
            <w:pPr>
              <w:spacing w:line="360" w:lineRule="auto"/>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638" w:type="dxa"/>
            <w:vMerge w:val="restart"/>
            <w:vAlign w:val="center"/>
          </w:tcPr>
          <w:p>
            <w:pPr>
              <w:spacing w:line="360" w:lineRule="auto"/>
              <w:jc w:val="center"/>
              <w:rPr>
                <w:rFonts w:hint="eastAsia" w:ascii="楷体" w:hAnsi="楷体" w:eastAsia="楷体" w:cs="楷体"/>
                <w:sz w:val="24"/>
                <w:szCs w:val="22"/>
                <w:highlight w:val="none"/>
                <w:lang w:val="en-US" w:eastAsia="zh-CN"/>
              </w:rPr>
            </w:pPr>
            <w:r>
              <w:rPr>
                <w:rFonts w:hint="eastAsia" w:ascii="楷体" w:hAnsi="楷体" w:eastAsia="楷体" w:cs="楷体"/>
                <w:sz w:val="24"/>
                <w:szCs w:val="22"/>
                <w:highlight w:val="none"/>
                <w:lang w:val="en-US" w:eastAsia="zh-CN"/>
              </w:rPr>
              <w:t>5</w:t>
            </w:r>
          </w:p>
        </w:tc>
        <w:tc>
          <w:tcPr>
            <w:tcW w:w="1157" w:type="dxa"/>
            <w:vMerge w:val="restart"/>
            <w:vAlign w:val="center"/>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rPr>
              <w:t>喷淋</w:t>
            </w:r>
            <w:r>
              <w:rPr>
                <w:rFonts w:hint="eastAsia" w:ascii="楷体" w:hAnsi="楷体" w:eastAsia="楷体" w:cs="楷体"/>
                <w:sz w:val="24"/>
                <w:szCs w:val="22"/>
                <w:highlight w:val="none"/>
                <w:lang w:val="en-US" w:eastAsia="zh-CN"/>
              </w:rPr>
              <w:t xml:space="preserve">  </w:t>
            </w:r>
            <w:r>
              <w:rPr>
                <w:rFonts w:hint="eastAsia" w:ascii="楷体" w:hAnsi="楷体" w:eastAsia="楷体" w:cs="楷体"/>
                <w:sz w:val="24"/>
                <w:szCs w:val="22"/>
                <w:highlight w:val="none"/>
              </w:rPr>
              <w:t>系统</w:t>
            </w:r>
          </w:p>
        </w:tc>
        <w:tc>
          <w:tcPr>
            <w:tcW w:w="2305" w:type="dxa"/>
            <w:vAlign w:val="center"/>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rPr>
              <w:t>功率</w:t>
            </w:r>
          </w:p>
        </w:tc>
        <w:tc>
          <w:tcPr>
            <w:tcW w:w="3540" w:type="dxa"/>
            <w:gridSpan w:val="2"/>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lang w:val="en-US" w:eastAsia="zh-CN"/>
              </w:rPr>
              <w:t xml:space="preserve">* </w:t>
            </w:r>
            <w:r>
              <w:rPr>
                <w:rFonts w:ascii="楷体" w:hAnsi="楷体" w:eastAsia="楷体" w:cs="楷体"/>
                <w:sz w:val="24"/>
                <w:szCs w:val="22"/>
                <w:highlight w:val="none"/>
              </w:rPr>
              <w:t>KW</w:t>
            </w:r>
          </w:p>
        </w:tc>
        <w:tc>
          <w:tcPr>
            <w:tcW w:w="1209" w:type="dxa"/>
          </w:tcPr>
          <w:p>
            <w:pPr>
              <w:spacing w:line="360" w:lineRule="auto"/>
              <w:jc w:val="center"/>
              <w:rPr>
                <w:rFonts w:hint="eastAsia" w:ascii="楷体" w:hAnsi="楷体" w:eastAsia="楷体" w:cs="楷体"/>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638" w:type="dxa"/>
            <w:vMerge w:val="continue"/>
            <w:vAlign w:val="center"/>
          </w:tcPr>
          <w:p>
            <w:pPr>
              <w:spacing w:line="360" w:lineRule="auto"/>
              <w:jc w:val="center"/>
              <w:rPr>
                <w:rFonts w:ascii="楷体" w:hAnsi="楷体" w:eastAsia="楷体" w:cs="楷体"/>
                <w:sz w:val="24"/>
                <w:szCs w:val="22"/>
                <w:highlight w:val="none"/>
              </w:rPr>
            </w:pPr>
          </w:p>
        </w:tc>
        <w:tc>
          <w:tcPr>
            <w:tcW w:w="1157" w:type="dxa"/>
            <w:vMerge w:val="continue"/>
            <w:vAlign w:val="center"/>
          </w:tcPr>
          <w:p>
            <w:pPr>
              <w:spacing w:line="360" w:lineRule="auto"/>
              <w:jc w:val="center"/>
              <w:rPr>
                <w:rFonts w:ascii="楷体" w:hAnsi="楷体" w:eastAsia="楷体" w:cs="楷体"/>
                <w:sz w:val="24"/>
                <w:szCs w:val="22"/>
                <w:highlight w:val="none"/>
              </w:rPr>
            </w:pPr>
          </w:p>
        </w:tc>
        <w:tc>
          <w:tcPr>
            <w:tcW w:w="2305" w:type="dxa"/>
            <w:vAlign w:val="center"/>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rPr>
              <w:t>流量</w:t>
            </w:r>
          </w:p>
        </w:tc>
        <w:tc>
          <w:tcPr>
            <w:tcW w:w="3540" w:type="dxa"/>
            <w:gridSpan w:val="2"/>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lang w:val="en-US" w:eastAsia="zh-CN"/>
              </w:rPr>
              <w:t xml:space="preserve">* </w:t>
            </w:r>
            <w:r>
              <w:rPr>
                <w:rFonts w:ascii="楷体" w:hAnsi="楷体" w:eastAsia="楷体" w:cs="楷体"/>
                <w:sz w:val="24"/>
                <w:szCs w:val="22"/>
                <w:highlight w:val="none"/>
              </w:rPr>
              <w:t>t/h</w:t>
            </w:r>
          </w:p>
        </w:tc>
        <w:tc>
          <w:tcPr>
            <w:tcW w:w="1209" w:type="dxa"/>
          </w:tcPr>
          <w:p>
            <w:pPr>
              <w:spacing w:line="360" w:lineRule="auto"/>
              <w:jc w:val="center"/>
              <w:rPr>
                <w:rFonts w:hint="eastAsia" w:ascii="楷体" w:hAnsi="楷体" w:eastAsia="楷体" w:cs="楷体"/>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638" w:type="dxa"/>
            <w:vMerge w:val="continue"/>
            <w:vAlign w:val="center"/>
          </w:tcPr>
          <w:p>
            <w:pPr>
              <w:spacing w:line="360" w:lineRule="auto"/>
              <w:jc w:val="center"/>
              <w:rPr>
                <w:rFonts w:ascii="楷体" w:hAnsi="楷体" w:eastAsia="楷体" w:cs="楷体"/>
                <w:sz w:val="24"/>
                <w:szCs w:val="22"/>
                <w:highlight w:val="none"/>
              </w:rPr>
            </w:pPr>
          </w:p>
        </w:tc>
        <w:tc>
          <w:tcPr>
            <w:tcW w:w="1157" w:type="dxa"/>
            <w:vMerge w:val="continue"/>
            <w:vAlign w:val="center"/>
          </w:tcPr>
          <w:p>
            <w:pPr>
              <w:spacing w:line="360" w:lineRule="auto"/>
              <w:jc w:val="center"/>
              <w:rPr>
                <w:rFonts w:ascii="楷体" w:hAnsi="楷体" w:eastAsia="楷体" w:cs="楷体"/>
                <w:sz w:val="24"/>
                <w:szCs w:val="22"/>
                <w:highlight w:val="none"/>
              </w:rPr>
            </w:pPr>
          </w:p>
        </w:tc>
        <w:tc>
          <w:tcPr>
            <w:tcW w:w="2305" w:type="dxa"/>
            <w:vAlign w:val="center"/>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rPr>
              <w:t>扬程</w:t>
            </w:r>
          </w:p>
        </w:tc>
        <w:tc>
          <w:tcPr>
            <w:tcW w:w="3540" w:type="dxa"/>
            <w:gridSpan w:val="2"/>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lang w:val="en-US" w:eastAsia="zh-CN"/>
              </w:rPr>
              <w:t xml:space="preserve">* </w:t>
            </w:r>
            <w:r>
              <w:rPr>
                <w:rFonts w:ascii="楷体" w:hAnsi="楷体" w:eastAsia="楷体" w:cs="楷体"/>
                <w:sz w:val="24"/>
                <w:szCs w:val="22"/>
                <w:highlight w:val="none"/>
              </w:rPr>
              <w:t>m</w:t>
            </w:r>
          </w:p>
        </w:tc>
        <w:tc>
          <w:tcPr>
            <w:tcW w:w="1209" w:type="dxa"/>
          </w:tcPr>
          <w:p>
            <w:pPr>
              <w:spacing w:line="360" w:lineRule="auto"/>
              <w:jc w:val="center"/>
              <w:rPr>
                <w:rFonts w:hint="eastAsia" w:ascii="楷体" w:hAnsi="楷体" w:eastAsia="楷体" w:cs="楷体"/>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638" w:type="dxa"/>
            <w:vMerge w:val="continue"/>
            <w:vAlign w:val="center"/>
          </w:tcPr>
          <w:p>
            <w:pPr>
              <w:spacing w:line="360" w:lineRule="auto"/>
              <w:jc w:val="center"/>
              <w:rPr>
                <w:rFonts w:ascii="楷体" w:hAnsi="楷体" w:eastAsia="楷体" w:cs="楷体"/>
                <w:sz w:val="24"/>
                <w:szCs w:val="22"/>
                <w:highlight w:val="none"/>
              </w:rPr>
            </w:pPr>
          </w:p>
        </w:tc>
        <w:tc>
          <w:tcPr>
            <w:tcW w:w="1157" w:type="dxa"/>
            <w:vMerge w:val="continue"/>
            <w:vAlign w:val="center"/>
          </w:tcPr>
          <w:p>
            <w:pPr>
              <w:spacing w:line="360" w:lineRule="auto"/>
              <w:jc w:val="center"/>
              <w:rPr>
                <w:rFonts w:ascii="楷体" w:hAnsi="楷体" w:eastAsia="楷体" w:cs="楷体"/>
                <w:sz w:val="24"/>
                <w:szCs w:val="22"/>
                <w:highlight w:val="none"/>
              </w:rPr>
            </w:pPr>
          </w:p>
        </w:tc>
        <w:tc>
          <w:tcPr>
            <w:tcW w:w="2305" w:type="dxa"/>
            <w:vAlign w:val="center"/>
          </w:tcPr>
          <w:p>
            <w:pPr>
              <w:spacing w:line="360" w:lineRule="auto"/>
              <w:jc w:val="center"/>
              <w:rPr>
                <w:rFonts w:hint="eastAsia" w:ascii="楷体" w:hAnsi="楷体" w:eastAsia="楷体" w:cs="楷体"/>
                <w:sz w:val="24"/>
                <w:szCs w:val="22"/>
                <w:highlight w:val="none"/>
                <w:lang w:eastAsia="zh-CN"/>
              </w:rPr>
            </w:pPr>
            <w:r>
              <w:rPr>
                <w:rFonts w:hint="eastAsia" w:ascii="楷体" w:hAnsi="楷体" w:eastAsia="楷体" w:cs="楷体"/>
                <w:sz w:val="24"/>
                <w:szCs w:val="22"/>
                <w:highlight w:val="none"/>
                <w:lang w:eastAsia="zh-CN"/>
              </w:rPr>
              <w:t>材质</w:t>
            </w:r>
          </w:p>
        </w:tc>
        <w:tc>
          <w:tcPr>
            <w:tcW w:w="3540" w:type="dxa"/>
            <w:gridSpan w:val="2"/>
          </w:tcPr>
          <w:p>
            <w:pPr>
              <w:spacing w:line="360" w:lineRule="auto"/>
              <w:jc w:val="center"/>
              <w:rPr>
                <w:rFonts w:hint="default" w:ascii="楷体" w:hAnsi="楷体" w:eastAsia="楷体" w:cs="楷体"/>
                <w:sz w:val="24"/>
                <w:szCs w:val="22"/>
                <w:highlight w:val="none"/>
                <w:lang w:val="en-US" w:eastAsia="zh-CN"/>
              </w:rPr>
            </w:pPr>
            <w:r>
              <w:rPr>
                <w:rFonts w:hint="eastAsia" w:ascii="楷体" w:hAnsi="楷体" w:eastAsia="楷体" w:cs="楷体"/>
                <w:sz w:val="24"/>
                <w:szCs w:val="22"/>
                <w:highlight w:val="none"/>
                <w:lang w:eastAsia="zh-CN"/>
              </w:rPr>
              <w:t>上、下箱体为</w:t>
            </w:r>
            <w:r>
              <w:rPr>
                <w:rFonts w:hint="eastAsia" w:ascii="楷体" w:hAnsi="楷体" w:eastAsia="楷体" w:cs="楷体"/>
                <w:sz w:val="24"/>
                <w:szCs w:val="22"/>
                <w:highlight w:val="none"/>
                <w:lang w:val="en-US" w:eastAsia="zh-CN"/>
              </w:rPr>
              <w:t>304不锈钢</w:t>
            </w:r>
          </w:p>
        </w:tc>
        <w:tc>
          <w:tcPr>
            <w:tcW w:w="1209" w:type="dxa"/>
          </w:tcPr>
          <w:p>
            <w:pPr>
              <w:spacing w:line="360" w:lineRule="auto"/>
              <w:jc w:val="center"/>
              <w:rPr>
                <w:rFonts w:hint="eastAsia" w:ascii="楷体" w:hAnsi="楷体" w:eastAsia="楷体" w:cs="楷体"/>
                <w:sz w:val="24"/>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638" w:type="dxa"/>
            <w:vAlign w:val="center"/>
          </w:tcPr>
          <w:p>
            <w:pPr>
              <w:spacing w:line="360" w:lineRule="auto"/>
              <w:jc w:val="center"/>
              <w:rPr>
                <w:rFonts w:hint="eastAsia" w:ascii="楷体" w:hAnsi="楷体" w:eastAsia="楷体" w:cs="楷体"/>
                <w:sz w:val="24"/>
                <w:szCs w:val="22"/>
                <w:highlight w:val="none"/>
                <w:lang w:val="en-US" w:eastAsia="zh-CN"/>
              </w:rPr>
            </w:pPr>
            <w:r>
              <w:rPr>
                <w:rFonts w:hint="eastAsia" w:ascii="楷体" w:hAnsi="楷体" w:eastAsia="楷体" w:cs="楷体"/>
                <w:sz w:val="24"/>
                <w:szCs w:val="22"/>
                <w:highlight w:val="none"/>
                <w:lang w:val="en-US" w:eastAsia="zh-CN"/>
              </w:rPr>
              <w:t>6</w:t>
            </w:r>
          </w:p>
        </w:tc>
        <w:tc>
          <w:tcPr>
            <w:tcW w:w="3462" w:type="dxa"/>
            <w:gridSpan w:val="2"/>
            <w:vAlign w:val="center"/>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rPr>
              <w:t>运行重量</w:t>
            </w:r>
          </w:p>
        </w:tc>
        <w:tc>
          <w:tcPr>
            <w:tcW w:w="3540" w:type="dxa"/>
            <w:gridSpan w:val="2"/>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lang w:val="en-US" w:eastAsia="zh-CN"/>
              </w:rPr>
              <w:t>*</w:t>
            </w:r>
            <w:r>
              <w:rPr>
                <w:rFonts w:ascii="楷体" w:hAnsi="楷体" w:eastAsia="楷体" w:cs="楷体"/>
                <w:sz w:val="24"/>
                <w:szCs w:val="22"/>
                <w:highlight w:val="none"/>
              </w:rPr>
              <w:t>Kg</w:t>
            </w:r>
          </w:p>
          <w:p>
            <w:pPr>
              <w:spacing w:line="360" w:lineRule="auto"/>
              <w:ind w:firstLine="480" w:firstLineChars="200"/>
              <w:jc w:val="center"/>
              <w:rPr>
                <w:rFonts w:ascii="楷体" w:hAnsi="楷体" w:eastAsia="楷体" w:cs="楷体"/>
                <w:sz w:val="24"/>
                <w:szCs w:val="22"/>
                <w:highlight w:val="none"/>
              </w:rPr>
            </w:pPr>
          </w:p>
        </w:tc>
        <w:tc>
          <w:tcPr>
            <w:tcW w:w="1209" w:type="dxa"/>
          </w:tcPr>
          <w:p>
            <w:pPr>
              <w:spacing w:line="360" w:lineRule="auto"/>
              <w:ind w:firstLine="480" w:firstLineChars="200"/>
              <w:jc w:val="center"/>
              <w:rPr>
                <w:rFonts w:ascii="楷体" w:hAnsi="楷体" w:eastAsia="楷体" w:cs="楷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638" w:type="dxa"/>
            <w:vMerge w:val="restart"/>
            <w:vAlign w:val="center"/>
          </w:tcPr>
          <w:p>
            <w:pPr>
              <w:pStyle w:val="2"/>
              <w:ind w:left="0" w:leftChars="0" w:firstLine="0" w:firstLineChars="0"/>
              <w:jc w:val="center"/>
              <w:rPr>
                <w:rFonts w:hint="default" w:ascii="楷体" w:hAnsi="楷体" w:eastAsia="楷体" w:cs="楷体"/>
                <w:sz w:val="24"/>
                <w:szCs w:val="22"/>
                <w:highlight w:val="none"/>
                <w:lang w:val="en-US" w:eastAsia="zh-CN"/>
              </w:rPr>
            </w:pPr>
            <w:r>
              <w:rPr>
                <w:rFonts w:hint="eastAsia" w:ascii="楷体" w:hAnsi="楷体" w:eastAsia="楷体" w:cs="楷体"/>
                <w:sz w:val="24"/>
                <w:szCs w:val="22"/>
                <w:highlight w:val="none"/>
                <w:lang w:val="en-US" w:eastAsia="zh-CN"/>
              </w:rPr>
              <w:t>7</w:t>
            </w:r>
          </w:p>
        </w:tc>
        <w:tc>
          <w:tcPr>
            <w:tcW w:w="3462" w:type="dxa"/>
            <w:gridSpan w:val="2"/>
            <w:vMerge w:val="restart"/>
            <w:vAlign w:val="center"/>
          </w:tcPr>
          <w:p>
            <w:pPr>
              <w:spacing w:line="360" w:lineRule="auto"/>
              <w:jc w:val="center"/>
              <w:rPr>
                <w:rFonts w:hint="eastAsia"/>
                <w:highlight w:val="none"/>
              </w:rPr>
            </w:pPr>
            <w:r>
              <w:rPr>
                <w:rFonts w:hint="default" w:ascii="Times New Roman" w:hAnsi="Times New Roman" w:eastAsia="宋体" w:cs="Times New Roman"/>
                <w:sz w:val="21"/>
                <w:szCs w:val="24"/>
                <w:highlight w:val="none"/>
              </w:rPr>
              <w:t>冷却塔尺寸</w:t>
            </w:r>
          </w:p>
          <w:p>
            <w:pPr>
              <w:pStyle w:val="2"/>
              <w:ind w:firstLine="1200" w:firstLineChars="500"/>
              <w:rPr>
                <w:rFonts w:hint="default" w:ascii="Times New Roman" w:hAnsi="Times New Roman" w:eastAsia="楷体" w:cs="Times New Roman"/>
                <w:sz w:val="21"/>
                <w:szCs w:val="24"/>
                <w:highlight w:val="none"/>
              </w:rPr>
            </w:pPr>
            <w:r>
              <w:rPr>
                <w:rFonts w:hint="eastAsia" w:ascii="楷体" w:hAnsi="楷体" w:eastAsia="楷体" w:cs="楷体"/>
                <w:sz w:val="24"/>
                <w:szCs w:val="22"/>
                <w:highlight w:val="none"/>
                <w:lang w:eastAsia="zh-CN"/>
              </w:rPr>
              <w:t>长</w:t>
            </w:r>
            <w:r>
              <w:rPr>
                <w:rFonts w:hint="eastAsia" w:ascii="楷体" w:hAnsi="楷体" w:eastAsia="楷体" w:cs="楷体"/>
                <w:sz w:val="24"/>
                <w:szCs w:val="22"/>
                <w:highlight w:val="none"/>
                <w:lang w:val="en-US" w:eastAsia="zh-CN"/>
              </w:rPr>
              <w:t>-宽-高</w:t>
            </w:r>
          </w:p>
        </w:tc>
        <w:tc>
          <w:tcPr>
            <w:tcW w:w="669" w:type="dxa"/>
            <w:vAlign w:val="center"/>
          </w:tcPr>
          <w:p>
            <w:pPr>
              <w:spacing w:line="360" w:lineRule="auto"/>
              <w:jc w:val="center"/>
              <w:rPr>
                <w:rFonts w:hint="eastAsia" w:ascii="楷体" w:hAnsi="楷体" w:eastAsia="楷体" w:cs="楷体"/>
                <w:sz w:val="24"/>
                <w:szCs w:val="22"/>
                <w:highlight w:val="none"/>
                <w:lang w:eastAsia="zh-CN"/>
              </w:rPr>
            </w:pPr>
            <w:r>
              <w:rPr>
                <w:rFonts w:hint="eastAsia" w:ascii="楷体" w:hAnsi="楷体" w:eastAsia="楷体" w:cs="楷体"/>
                <w:sz w:val="24"/>
                <w:szCs w:val="22"/>
                <w:highlight w:val="none"/>
                <w:lang w:eastAsia="zh-CN"/>
              </w:rPr>
              <w:t>主机尺寸</w:t>
            </w:r>
          </w:p>
        </w:tc>
        <w:tc>
          <w:tcPr>
            <w:tcW w:w="2871" w:type="dxa"/>
          </w:tcPr>
          <w:p>
            <w:pPr>
              <w:spacing w:line="360" w:lineRule="auto"/>
              <w:jc w:val="center"/>
              <w:rPr>
                <w:rFonts w:hint="eastAsia" w:ascii="楷体" w:hAnsi="楷体" w:eastAsia="楷体" w:cs="楷体"/>
                <w:sz w:val="24"/>
                <w:szCs w:val="22"/>
                <w:highlight w:val="none"/>
              </w:rPr>
            </w:pPr>
          </w:p>
        </w:tc>
        <w:tc>
          <w:tcPr>
            <w:tcW w:w="1209" w:type="dxa"/>
          </w:tcPr>
          <w:p>
            <w:pPr>
              <w:spacing w:line="360" w:lineRule="auto"/>
              <w:jc w:val="center"/>
              <w:rPr>
                <w:rFonts w:hint="eastAsia" w:ascii="楷体" w:hAnsi="楷体" w:eastAsia="楷体" w:cs="楷体"/>
                <w:sz w:val="24"/>
                <w:szCs w:val="22"/>
                <w:highlight w:val="none"/>
                <w:lang w:val="en-US" w:eastAsia="zh-CN"/>
              </w:rPr>
            </w:pPr>
            <w:r>
              <w:rPr>
                <w:rFonts w:hint="eastAsia" w:ascii="楷体" w:hAnsi="楷体" w:eastAsia="楷体" w:cs="楷体"/>
                <w:sz w:val="24"/>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trPr>
        <w:tc>
          <w:tcPr>
            <w:tcW w:w="638" w:type="dxa"/>
            <w:vMerge w:val="continue"/>
            <w:vAlign w:val="center"/>
          </w:tcPr>
          <w:p>
            <w:pPr>
              <w:spacing w:line="360" w:lineRule="auto"/>
              <w:jc w:val="center"/>
              <w:rPr>
                <w:rFonts w:hint="eastAsia" w:ascii="楷体" w:hAnsi="楷体" w:eastAsia="楷体" w:cs="楷体"/>
                <w:sz w:val="24"/>
                <w:szCs w:val="22"/>
                <w:highlight w:val="none"/>
              </w:rPr>
            </w:pPr>
          </w:p>
        </w:tc>
        <w:tc>
          <w:tcPr>
            <w:tcW w:w="3462" w:type="dxa"/>
            <w:gridSpan w:val="2"/>
            <w:vMerge w:val="continue"/>
            <w:vAlign w:val="center"/>
          </w:tcPr>
          <w:p>
            <w:pPr>
              <w:spacing w:line="360" w:lineRule="auto"/>
              <w:jc w:val="center"/>
              <w:rPr>
                <w:rFonts w:hint="eastAsia" w:ascii="楷体" w:hAnsi="楷体" w:eastAsia="楷体" w:cs="楷体"/>
                <w:sz w:val="24"/>
                <w:szCs w:val="22"/>
                <w:highlight w:val="none"/>
              </w:rPr>
            </w:pPr>
          </w:p>
        </w:tc>
        <w:tc>
          <w:tcPr>
            <w:tcW w:w="669" w:type="dxa"/>
            <w:vAlign w:val="center"/>
          </w:tcPr>
          <w:p>
            <w:pPr>
              <w:spacing w:line="360" w:lineRule="auto"/>
              <w:jc w:val="center"/>
              <w:rPr>
                <w:rFonts w:hint="eastAsia" w:ascii="楷体" w:hAnsi="楷体" w:eastAsia="楷体" w:cs="楷体"/>
                <w:sz w:val="24"/>
                <w:szCs w:val="22"/>
                <w:highlight w:val="none"/>
                <w:lang w:eastAsia="zh-CN"/>
              </w:rPr>
            </w:pPr>
            <w:r>
              <w:rPr>
                <w:rFonts w:hint="eastAsia" w:ascii="楷体" w:hAnsi="楷体" w:eastAsia="楷体" w:cs="楷体"/>
                <w:sz w:val="24"/>
                <w:szCs w:val="22"/>
                <w:highlight w:val="none"/>
                <w:lang w:eastAsia="zh-CN"/>
              </w:rPr>
              <w:t>辅机尺寸</w:t>
            </w:r>
          </w:p>
        </w:tc>
        <w:tc>
          <w:tcPr>
            <w:tcW w:w="2871" w:type="dxa"/>
          </w:tcPr>
          <w:p>
            <w:pPr>
              <w:spacing w:line="360" w:lineRule="auto"/>
              <w:jc w:val="center"/>
              <w:rPr>
                <w:rFonts w:hint="default" w:ascii="楷体" w:hAnsi="楷体" w:eastAsia="楷体" w:cs="楷体"/>
                <w:sz w:val="24"/>
                <w:szCs w:val="22"/>
                <w:highlight w:val="none"/>
                <w:lang w:val="en-US"/>
              </w:rPr>
            </w:pPr>
          </w:p>
        </w:tc>
        <w:tc>
          <w:tcPr>
            <w:tcW w:w="1209" w:type="dxa"/>
          </w:tcPr>
          <w:p>
            <w:pPr>
              <w:spacing w:line="360" w:lineRule="auto"/>
              <w:jc w:val="center"/>
              <w:rPr>
                <w:rFonts w:hint="eastAsia" w:ascii="楷体" w:hAnsi="楷体" w:eastAsia="楷体" w:cs="楷体"/>
                <w:sz w:val="24"/>
                <w:szCs w:val="22"/>
                <w:highlight w:val="none"/>
              </w:rPr>
            </w:pPr>
            <w:r>
              <w:rPr>
                <w:rFonts w:hint="eastAsia" w:ascii="楷体" w:hAnsi="楷体" w:eastAsia="楷体" w:cs="楷体"/>
                <w:sz w:val="24"/>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638" w:type="dxa"/>
            <w:vAlign w:val="center"/>
          </w:tcPr>
          <w:p>
            <w:pPr>
              <w:spacing w:line="360" w:lineRule="auto"/>
              <w:jc w:val="center"/>
              <w:rPr>
                <w:rFonts w:hint="eastAsia" w:ascii="楷体" w:hAnsi="楷体" w:eastAsia="楷体" w:cs="楷体"/>
                <w:sz w:val="24"/>
                <w:szCs w:val="22"/>
                <w:highlight w:val="none"/>
                <w:lang w:val="en-US" w:eastAsia="zh-CN"/>
              </w:rPr>
            </w:pPr>
            <w:r>
              <w:rPr>
                <w:rFonts w:hint="eastAsia" w:ascii="楷体" w:hAnsi="楷体" w:eastAsia="楷体" w:cs="楷体"/>
                <w:sz w:val="24"/>
                <w:szCs w:val="22"/>
                <w:highlight w:val="none"/>
                <w:lang w:val="en-US" w:eastAsia="zh-CN"/>
              </w:rPr>
              <w:t>8</w:t>
            </w:r>
          </w:p>
        </w:tc>
        <w:tc>
          <w:tcPr>
            <w:tcW w:w="3462" w:type="dxa"/>
            <w:gridSpan w:val="2"/>
            <w:vAlign w:val="center"/>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rPr>
              <w:t>进出水口径</w:t>
            </w:r>
          </w:p>
        </w:tc>
        <w:tc>
          <w:tcPr>
            <w:tcW w:w="3540" w:type="dxa"/>
            <w:gridSpan w:val="2"/>
          </w:tcPr>
          <w:p>
            <w:pPr>
              <w:spacing w:line="360" w:lineRule="auto"/>
              <w:jc w:val="center"/>
              <w:rPr>
                <w:rFonts w:hint="eastAsia" w:ascii="楷体" w:hAnsi="楷体" w:eastAsia="楷体" w:cs="楷体"/>
                <w:sz w:val="24"/>
                <w:szCs w:val="22"/>
                <w:highlight w:val="none"/>
                <w:lang w:val="en-US" w:eastAsia="zh-CN"/>
              </w:rPr>
            </w:pPr>
            <w:r>
              <w:rPr>
                <w:rFonts w:hint="eastAsia" w:ascii="楷体" w:hAnsi="楷体" w:eastAsia="楷体" w:cs="楷体"/>
                <w:sz w:val="24"/>
                <w:szCs w:val="22"/>
                <w:highlight w:val="none"/>
                <w:lang w:val="en-US" w:eastAsia="zh-CN"/>
              </w:rPr>
              <w:t>*</w:t>
            </w:r>
          </w:p>
        </w:tc>
        <w:tc>
          <w:tcPr>
            <w:tcW w:w="1209" w:type="dxa"/>
          </w:tcPr>
          <w:p>
            <w:pPr>
              <w:spacing w:line="360" w:lineRule="auto"/>
              <w:jc w:val="center"/>
              <w:rPr>
                <w:rFonts w:hint="eastAsia" w:ascii="楷体" w:hAnsi="楷体" w:eastAsia="楷体" w:cs="楷体"/>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638" w:type="dxa"/>
            <w:vAlign w:val="center"/>
          </w:tcPr>
          <w:p>
            <w:pPr>
              <w:spacing w:line="360" w:lineRule="auto"/>
              <w:jc w:val="center"/>
              <w:rPr>
                <w:rFonts w:hint="eastAsia" w:ascii="楷体" w:hAnsi="楷体" w:eastAsia="楷体" w:cs="楷体"/>
                <w:sz w:val="24"/>
                <w:szCs w:val="22"/>
                <w:highlight w:val="none"/>
                <w:lang w:val="en-US" w:eastAsia="zh-CN"/>
              </w:rPr>
            </w:pPr>
            <w:r>
              <w:rPr>
                <w:rFonts w:hint="eastAsia" w:ascii="楷体" w:hAnsi="楷体" w:eastAsia="楷体" w:cs="楷体"/>
                <w:sz w:val="24"/>
                <w:szCs w:val="22"/>
                <w:highlight w:val="none"/>
                <w:lang w:val="en-US" w:eastAsia="zh-CN"/>
              </w:rPr>
              <w:t>9</w:t>
            </w:r>
          </w:p>
        </w:tc>
        <w:tc>
          <w:tcPr>
            <w:tcW w:w="3462" w:type="dxa"/>
            <w:gridSpan w:val="2"/>
            <w:vAlign w:val="center"/>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rPr>
              <w:t>冷却塔蒸发量（夏季最高）</w:t>
            </w:r>
            <w:r>
              <w:rPr>
                <w:rFonts w:ascii="楷体" w:hAnsi="楷体" w:eastAsia="楷体" w:cs="楷体"/>
                <w:sz w:val="24"/>
                <w:szCs w:val="22"/>
                <w:highlight w:val="none"/>
              </w:rPr>
              <w:t>200K</w:t>
            </w:r>
            <w:r>
              <w:rPr>
                <w:rFonts w:hint="eastAsia" w:ascii="楷体" w:hAnsi="楷体" w:eastAsia="楷体" w:cs="楷体"/>
                <w:sz w:val="24"/>
                <w:szCs w:val="22"/>
                <w:highlight w:val="none"/>
              </w:rPr>
              <w:t>g</w:t>
            </w:r>
            <w:r>
              <w:rPr>
                <w:rFonts w:ascii="楷体" w:hAnsi="楷体" w:eastAsia="楷体" w:cs="楷体"/>
                <w:sz w:val="24"/>
                <w:szCs w:val="22"/>
                <w:highlight w:val="none"/>
              </w:rPr>
              <w:t>/</w:t>
            </w:r>
            <w:r>
              <w:rPr>
                <w:rFonts w:hint="eastAsia" w:ascii="楷体" w:hAnsi="楷体" w:eastAsia="楷体" w:cs="楷体"/>
                <w:sz w:val="24"/>
                <w:szCs w:val="22"/>
                <w:highlight w:val="none"/>
              </w:rPr>
              <w:t>h，冬季基本不耗水。补水水质要求不高，</w:t>
            </w:r>
          </w:p>
        </w:tc>
        <w:tc>
          <w:tcPr>
            <w:tcW w:w="3540" w:type="dxa"/>
            <w:gridSpan w:val="2"/>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lang w:val="en-US" w:eastAsia="zh-CN"/>
              </w:rPr>
              <w:t xml:space="preserve">* </w:t>
            </w:r>
            <w:r>
              <w:rPr>
                <w:rFonts w:ascii="楷体" w:hAnsi="楷体" w:eastAsia="楷体" w:cs="楷体"/>
                <w:sz w:val="24"/>
                <w:szCs w:val="22"/>
                <w:highlight w:val="none"/>
              </w:rPr>
              <w:t>K</w:t>
            </w:r>
            <w:r>
              <w:rPr>
                <w:rFonts w:hint="eastAsia" w:ascii="楷体" w:hAnsi="楷体" w:eastAsia="楷体" w:cs="楷体"/>
                <w:sz w:val="24"/>
                <w:szCs w:val="22"/>
                <w:highlight w:val="none"/>
              </w:rPr>
              <w:t>g</w:t>
            </w:r>
            <w:r>
              <w:rPr>
                <w:rFonts w:ascii="楷体" w:hAnsi="楷体" w:eastAsia="楷体" w:cs="楷体"/>
                <w:sz w:val="24"/>
                <w:szCs w:val="22"/>
                <w:highlight w:val="none"/>
              </w:rPr>
              <w:t>/</w:t>
            </w:r>
            <w:r>
              <w:rPr>
                <w:rFonts w:hint="eastAsia" w:ascii="楷体" w:hAnsi="楷体" w:eastAsia="楷体" w:cs="楷体"/>
                <w:sz w:val="24"/>
                <w:szCs w:val="22"/>
                <w:highlight w:val="none"/>
              </w:rPr>
              <w:t>h，</w:t>
            </w:r>
          </w:p>
        </w:tc>
        <w:tc>
          <w:tcPr>
            <w:tcW w:w="1209" w:type="dxa"/>
          </w:tcPr>
          <w:p>
            <w:pPr>
              <w:spacing w:line="360" w:lineRule="auto"/>
              <w:jc w:val="center"/>
              <w:rPr>
                <w:rFonts w:hint="eastAsia" w:ascii="楷体" w:hAnsi="楷体" w:eastAsia="楷体" w:cs="楷体"/>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trPr>
        <w:tc>
          <w:tcPr>
            <w:tcW w:w="638" w:type="dxa"/>
            <w:vAlign w:val="center"/>
          </w:tcPr>
          <w:p>
            <w:pPr>
              <w:spacing w:line="360" w:lineRule="auto"/>
              <w:jc w:val="center"/>
              <w:rPr>
                <w:rFonts w:hint="default" w:ascii="楷体" w:hAnsi="楷体" w:eastAsia="楷体" w:cs="楷体"/>
                <w:sz w:val="24"/>
                <w:szCs w:val="22"/>
                <w:highlight w:val="none"/>
                <w:lang w:val="en-US" w:eastAsia="zh-CN"/>
              </w:rPr>
            </w:pPr>
            <w:r>
              <w:rPr>
                <w:rFonts w:hint="eastAsia" w:ascii="楷体" w:hAnsi="楷体" w:eastAsia="楷体" w:cs="楷体"/>
                <w:sz w:val="24"/>
                <w:szCs w:val="22"/>
                <w:highlight w:val="none"/>
                <w:lang w:val="en-US" w:eastAsia="zh-CN"/>
              </w:rPr>
              <w:t>10</w:t>
            </w:r>
          </w:p>
        </w:tc>
        <w:tc>
          <w:tcPr>
            <w:tcW w:w="3462" w:type="dxa"/>
            <w:gridSpan w:val="2"/>
            <w:vAlign w:val="center"/>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rPr>
              <w:t>冷却塔补水量（夏季最高）</w:t>
            </w:r>
          </w:p>
        </w:tc>
        <w:tc>
          <w:tcPr>
            <w:tcW w:w="3540" w:type="dxa"/>
            <w:gridSpan w:val="2"/>
          </w:tcPr>
          <w:p>
            <w:pPr>
              <w:spacing w:line="360" w:lineRule="auto"/>
              <w:jc w:val="center"/>
              <w:rPr>
                <w:rFonts w:hint="default" w:ascii="楷体" w:hAnsi="楷体" w:eastAsia="楷体" w:cs="楷体"/>
                <w:sz w:val="24"/>
                <w:szCs w:val="22"/>
                <w:highlight w:val="none"/>
                <w:lang w:val="en-US" w:eastAsia="zh-CN"/>
              </w:rPr>
            </w:pPr>
            <w:r>
              <w:rPr>
                <w:rFonts w:hint="eastAsia" w:ascii="楷体" w:hAnsi="楷体" w:eastAsia="楷体" w:cs="楷体"/>
                <w:sz w:val="24"/>
                <w:szCs w:val="22"/>
                <w:highlight w:val="none"/>
                <w:lang w:val="en-US" w:eastAsia="zh-CN"/>
              </w:rPr>
              <w:t>* m³/h</w:t>
            </w:r>
          </w:p>
        </w:tc>
        <w:tc>
          <w:tcPr>
            <w:tcW w:w="1209" w:type="dxa"/>
          </w:tcPr>
          <w:p>
            <w:pPr>
              <w:spacing w:line="360" w:lineRule="auto"/>
              <w:jc w:val="center"/>
              <w:rPr>
                <w:rFonts w:hint="eastAsia" w:ascii="楷体" w:hAnsi="楷体" w:eastAsia="楷体" w:cs="楷体"/>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638" w:type="dxa"/>
            <w:vAlign w:val="center"/>
          </w:tcPr>
          <w:p>
            <w:pPr>
              <w:spacing w:line="360" w:lineRule="auto"/>
              <w:jc w:val="center"/>
              <w:rPr>
                <w:rFonts w:hint="default" w:ascii="楷体" w:hAnsi="楷体" w:eastAsia="楷体" w:cs="楷体"/>
                <w:sz w:val="24"/>
                <w:szCs w:val="22"/>
                <w:highlight w:val="none"/>
                <w:lang w:val="en-US" w:eastAsia="zh-CN"/>
              </w:rPr>
            </w:pPr>
            <w:r>
              <w:rPr>
                <w:rFonts w:hint="eastAsia" w:ascii="楷体" w:hAnsi="楷体" w:eastAsia="楷体" w:cs="楷体"/>
                <w:sz w:val="24"/>
                <w:szCs w:val="22"/>
                <w:highlight w:val="none"/>
                <w:lang w:val="en-US" w:eastAsia="zh-CN"/>
              </w:rPr>
              <w:t>11</w:t>
            </w:r>
          </w:p>
        </w:tc>
        <w:tc>
          <w:tcPr>
            <w:tcW w:w="3462" w:type="dxa"/>
            <w:gridSpan w:val="2"/>
            <w:vAlign w:val="center"/>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rPr>
              <w:t>补水水质要求</w:t>
            </w:r>
          </w:p>
        </w:tc>
        <w:tc>
          <w:tcPr>
            <w:tcW w:w="3540" w:type="dxa"/>
            <w:gridSpan w:val="2"/>
          </w:tcPr>
          <w:p>
            <w:pPr>
              <w:spacing w:line="360" w:lineRule="auto"/>
              <w:jc w:val="center"/>
              <w:rPr>
                <w:rFonts w:hint="default" w:ascii="楷体" w:hAnsi="楷体" w:eastAsia="楷体" w:cs="楷体"/>
                <w:sz w:val="24"/>
                <w:szCs w:val="22"/>
                <w:highlight w:val="none"/>
                <w:lang w:val="en-US" w:eastAsia="zh-CN"/>
              </w:rPr>
            </w:pPr>
            <w:r>
              <w:rPr>
                <w:rFonts w:hint="eastAsia" w:ascii="楷体" w:hAnsi="楷体" w:eastAsia="楷体" w:cs="楷体"/>
                <w:sz w:val="24"/>
                <w:szCs w:val="22"/>
                <w:highlight w:val="none"/>
                <w:lang w:val="en-US" w:eastAsia="zh-CN"/>
              </w:rPr>
              <w:t>自来水</w:t>
            </w:r>
          </w:p>
        </w:tc>
        <w:tc>
          <w:tcPr>
            <w:tcW w:w="1209" w:type="dxa"/>
          </w:tcPr>
          <w:p>
            <w:pPr>
              <w:spacing w:line="360" w:lineRule="auto"/>
              <w:jc w:val="center"/>
              <w:rPr>
                <w:rFonts w:hint="eastAsia" w:ascii="楷体" w:hAnsi="楷体" w:eastAsia="楷体" w:cs="楷体"/>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638" w:type="dxa"/>
            <w:vAlign w:val="center"/>
          </w:tcPr>
          <w:p>
            <w:pPr>
              <w:spacing w:line="360" w:lineRule="auto"/>
              <w:jc w:val="center"/>
              <w:rPr>
                <w:rFonts w:hint="default" w:ascii="楷体" w:hAnsi="楷体" w:eastAsia="楷体" w:cs="楷体"/>
                <w:sz w:val="24"/>
                <w:szCs w:val="22"/>
                <w:highlight w:val="none"/>
                <w:lang w:val="en-US" w:eastAsia="zh-CN"/>
              </w:rPr>
            </w:pPr>
            <w:r>
              <w:rPr>
                <w:rFonts w:hint="eastAsia" w:ascii="楷体" w:hAnsi="楷体" w:eastAsia="楷体" w:cs="楷体"/>
                <w:sz w:val="24"/>
                <w:szCs w:val="22"/>
                <w:highlight w:val="none"/>
                <w:lang w:val="en-US" w:eastAsia="zh-CN"/>
              </w:rPr>
              <w:t>12</w:t>
            </w:r>
          </w:p>
        </w:tc>
        <w:tc>
          <w:tcPr>
            <w:tcW w:w="3462" w:type="dxa"/>
            <w:gridSpan w:val="2"/>
            <w:vAlign w:val="center"/>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rPr>
              <w:t>补水口径</w:t>
            </w:r>
          </w:p>
        </w:tc>
        <w:tc>
          <w:tcPr>
            <w:tcW w:w="3540" w:type="dxa"/>
            <w:gridSpan w:val="2"/>
          </w:tcPr>
          <w:p>
            <w:pPr>
              <w:spacing w:line="360" w:lineRule="auto"/>
              <w:jc w:val="center"/>
              <w:rPr>
                <w:rFonts w:hint="eastAsia" w:ascii="楷体" w:hAnsi="楷体" w:eastAsia="楷体" w:cs="楷体"/>
                <w:sz w:val="24"/>
                <w:szCs w:val="22"/>
                <w:highlight w:val="none"/>
                <w:lang w:val="en-US" w:eastAsia="zh-CN"/>
              </w:rPr>
            </w:pPr>
            <w:r>
              <w:rPr>
                <w:rFonts w:hint="eastAsia" w:ascii="楷体" w:hAnsi="楷体" w:eastAsia="楷体" w:cs="楷体"/>
                <w:sz w:val="24"/>
                <w:szCs w:val="22"/>
                <w:highlight w:val="none"/>
                <w:lang w:val="en-US" w:eastAsia="zh-CN"/>
              </w:rPr>
              <w:t>*</w:t>
            </w:r>
          </w:p>
        </w:tc>
        <w:tc>
          <w:tcPr>
            <w:tcW w:w="1209" w:type="dxa"/>
          </w:tcPr>
          <w:p>
            <w:pPr>
              <w:spacing w:line="360" w:lineRule="auto"/>
              <w:jc w:val="center"/>
              <w:rPr>
                <w:rFonts w:hint="eastAsia" w:ascii="楷体" w:hAnsi="楷体" w:eastAsia="楷体" w:cs="楷体"/>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638" w:type="dxa"/>
            <w:vAlign w:val="center"/>
          </w:tcPr>
          <w:p>
            <w:pPr>
              <w:spacing w:line="360" w:lineRule="auto"/>
              <w:jc w:val="center"/>
              <w:rPr>
                <w:rFonts w:hint="default" w:ascii="楷体" w:hAnsi="楷体" w:eastAsia="楷体" w:cs="楷体"/>
                <w:sz w:val="24"/>
                <w:szCs w:val="22"/>
                <w:highlight w:val="none"/>
                <w:lang w:val="en-US" w:eastAsia="zh-CN"/>
              </w:rPr>
            </w:pPr>
            <w:r>
              <w:rPr>
                <w:rFonts w:hint="eastAsia" w:ascii="楷体" w:hAnsi="楷体" w:eastAsia="楷体" w:cs="楷体"/>
                <w:sz w:val="24"/>
                <w:szCs w:val="22"/>
                <w:highlight w:val="none"/>
                <w:lang w:val="en-US" w:eastAsia="zh-CN"/>
              </w:rPr>
              <w:t>13</w:t>
            </w:r>
          </w:p>
        </w:tc>
        <w:tc>
          <w:tcPr>
            <w:tcW w:w="3462" w:type="dxa"/>
            <w:gridSpan w:val="2"/>
            <w:vAlign w:val="center"/>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rPr>
              <w:t>排污口径</w:t>
            </w:r>
          </w:p>
        </w:tc>
        <w:tc>
          <w:tcPr>
            <w:tcW w:w="3540" w:type="dxa"/>
            <w:gridSpan w:val="2"/>
          </w:tcPr>
          <w:p>
            <w:pPr>
              <w:spacing w:line="360" w:lineRule="auto"/>
              <w:jc w:val="center"/>
              <w:rPr>
                <w:rFonts w:hint="eastAsia" w:ascii="楷体" w:hAnsi="楷体" w:eastAsia="楷体" w:cs="楷体"/>
                <w:sz w:val="24"/>
                <w:szCs w:val="22"/>
                <w:highlight w:val="none"/>
                <w:lang w:val="en-US" w:eastAsia="zh-CN"/>
              </w:rPr>
            </w:pPr>
            <w:r>
              <w:rPr>
                <w:rFonts w:hint="eastAsia" w:ascii="楷体" w:hAnsi="楷体" w:eastAsia="楷体" w:cs="楷体"/>
                <w:sz w:val="24"/>
                <w:szCs w:val="22"/>
                <w:highlight w:val="none"/>
                <w:lang w:val="en-US" w:eastAsia="zh-CN"/>
              </w:rPr>
              <w:t>*</w:t>
            </w:r>
          </w:p>
        </w:tc>
        <w:tc>
          <w:tcPr>
            <w:tcW w:w="1209" w:type="dxa"/>
          </w:tcPr>
          <w:p>
            <w:pPr>
              <w:spacing w:line="360" w:lineRule="auto"/>
              <w:jc w:val="center"/>
              <w:rPr>
                <w:rFonts w:hint="eastAsia" w:ascii="楷体" w:hAnsi="楷体" w:eastAsia="楷体" w:cs="楷体"/>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638" w:type="dxa"/>
            <w:vMerge w:val="restart"/>
            <w:vAlign w:val="center"/>
          </w:tcPr>
          <w:p>
            <w:pPr>
              <w:spacing w:line="360" w:lineRule="auto"/>
              <w:jc w:val="center"/>
              <w:rPr>
                <w:rFonts w:hint="default" w:ascii="楷体" w:hAnsi="楷体" w:eastAsia="楷体" w:cs="楷体"/>
                <w:sz w:val="24"/>
                <w:szCs w:val="22"/>
                <w:highlight w:val="none"/>
                <w:lang w:val="en-US" w:eastAsia="zh-CN"/>
              </w:rPr>
            </w:pPr>
            <w:r>
              <w:rPr>
                <w:rFonts w:hint="eastAsia" w:ascii="楷体" w:hAnsi="楷体" w:eastAsia="楷体" w:cs="楷体"/>
                <w:sz w:val="24"/>
                <w:szCs w:val="22"/>
                <w:highlight w:val="none"/>
                <w:lang w:val="en-US" w:eastAsia="zh-CN"/>
              </w:rPr>
              <w:t>14</w:t>
            </w:r>
          </w:p>
        </w:tc>
        <w:tc>
          <w:tcPr>
            <w:tcW w:w="1157" w:type="dxa"/>
            <w:vMerge w:val="restart"/>
            <w:vAlign w:val="center"/>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rPr>
              <w:t>辅机</w:t>
            </w:r>
          </w:p>
        </w:tc>
        <w:tc>
          <w:tcPr>
            <w:tcW w:w="2305" w:type="dxa"/>
            <w:vAlign w:val="center"/>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rPr>
              <w:t>功率</w:t>
            </w:r>
          </w:p>
        </w:tc>
        <w:tc>
          <w:tcPr>
            <w:tcW w:w="3540" w:type="dxa"/>
            <w:gridSpan w:val="2"/>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lang w:val="en-US" w:eastAsia="zh-CN"/>
              </w:rPr>
              <w:t>*</w:t>
            </w:r>
            <w:r>
              <w:rPr>
                <w:rFonts w:ascii="楷体" w:hAnsi="楷体" w:eastAsia="楷体" w:cs="楷体"/>
                <w:sz w:val="24"/>
                <w:szCs w:val="22"/>
                <w:highlight w:val="none"/>
              </w:rPr>
              <w:t>KW</w:t>
            </w:r>
          </w:p>
        </w:tc>
        <w:tc>
          <w:tcPr>
            <w:tcW w:w="1209" w:type="dxa"/>
            <w:vMerge w:val="restart"/>
          </w:tcPr>
          <w:p>
            <w:pPr>
              <w:spacing w:line="360" w:lineRule="auto"/>
              <w:jc w:val="center"/>
              <w:rPr>
                <w:rFonts w:hint="eastAsia" w:ascii="楷体" w:hAnsi="楷体" w:eastAsia="楷体" w:cs="楷体"/>
                <w:sz w:val="24"/>
                <w:szCs w:val="22"/>
                <w:highlight w:val="none"/>
                <w:lang w:val="en-US" w:eastAsia="zh-CN"/>
              </w:rPr>
            </w:pPr>
            <w:r>
              <w:rPr>
                <w:rFonts w:hint="eastAsia" w:ascii="楷体" w:hAnsi="楷体" w:eastAsia="楷体" w:cs="楷体"/>
                <w:sz w:val="24"/>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638" w:type="dxa"/>
            <w:vMerge w:val="continue"/>
            <w:vAlign w:val="center"/>
          </w:tcPr>
          <w:p>
            <w:pPr>
              <w:spacing w:line="360" w:lineRule="auto"/>
              <w:jc w:val="center"/>
              <w:rPr>
                <w:rFonts w:ascii="楷体" w:hAnsi="楷体" w:eastAsia="楷体" w:cs="楷体"/>
                <w:sz w:val="24"/>
                <w:szCs w:val="22"/>
                <w:highlight w:val="none"/>
              </w:rPr>
            </w:pPr>
          </w:p>
        </w:tc>
        <w:tc>
          <w:tcPr>
            <w:tcW w:w="1157" w:type="dxa"/>
            <w:vMerge w:val="continue"/>
            <w:vAlign w:val="center"/>
          </w:tcPr>
          <w:p>
            <w:pPr>
              <w:spacing w:line="360" w:lineRule="auto"/>
              <w:jc w:val="center"/>
              <w:rPr>
                <w:rFonts w:ascii="楷体" w:hAnsi="楷体" w:eastAsia="楷体" w:cs="楷体"/>
                <w:sz w:val="24"/>
                <w:szCs w:val="22"/>
                <w:highlight w:val="none"/>
              </w:rPr>
            </w:pPr>
          </w:p>
        </w:tc>
        <w:tc>
          <w:tcPr>
            <w:tcW w:w="2305" w:type="dxa"/>
            <w:vAlign w:val="center"/>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rPr>
              <w:t>流量</w:t>
            </w:r>
          </w:p>
        </w:tc>
        <w:tc>
          <w:tcPr>
            <w:tcW w:w="3540" w:type="dxa"/>
            <w:gridSpan w:val="2"/>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lang w:val="en-US" w:eastAsia="zh-CN"/>
              </w:rPr>
              <w:t>*</w:t>
            </w:r>
            <w:r>
              <w:rPr>
                <w:rFonts w:ascii="楷体" w:hAnsi="楷体" w:eastAsia="楷体" w:cs="楷体"/>
                <w:sz w:val="24"/>
                <w:szCs w:val="22"/>
                <w:highlight w:val="none"/>
              </w:rPr>
              <w:t>t/h</w:t>
            </w:r>
          </w:p>
        </w:tc>
        <w:tc>
          <w:tcPr>
            <w:tcW w:w="1209" w:type="dxa"/>
            <w:vMerge w:val="continue"/>
          </w:tcPr>
          <w:p>
            <w:pPr>
              <w:spacing w:line="360" w:lineRule="auto"/>
              <w:jc w:val="center"/>
              <w:rPr>
                <w:rFonts w:hint="eastAsia" w:ascii="楷体" w:hAnsi="楷体" w:eastAsia="楷体" w:cs="楷体"/>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638" w:type="dxa"/>
            <w:vMerge w:val="continue"/>
            <w:vAlign w:val="center"/>
          </w:tcPr>
          <w:p>
            <w:pPr>
              <w:spacing w:line="360" w:lineRule="auto"/>
              <w:jc w:val="center"/>
              <w:rPr>
                <w:rFonts w:ascii="楷体" w:hAnsi="楷体" w:eastAsia="楷体" w:cs="楷体"/>
                <w:sz w:val="24"/>
                <w:szCs w:val="22"/>
                <w:highlight w:val="none"/>
              </w:rPr>
            </w:pPr>
          </w:p>
        </w:tc>
        <w:tc>
          <w:tcPr>
            <w:tcW w:w="1157" w:type="dxa"/>
            <w:vMerge w:val="continue"/>
            <w:vAlign w:val="center"/>
          </w:tcPr>
          <w:p>
            <w:pPr>
              <w:spacing w:line="360" w:lineRule="auto"/>
              <w:jc w:val="center"/>
              <w:rPr>
                <w:rFonts w:ascii="楷体" w:hAnsi="楷体" w:eastAsia="楷体" w:cs="楷体"/>
                <w:sz w:val="24"/>
                <w:szCs w:val="22"/>
                <w:highlight w:val="none"/>
              </w:rPr>
            </w:pPr>
          </w:p>
        </w:tc>
        <w:tc>
          <w:tcPr>
            <w:tcW w:w="2305" w:type="dxa"/>
            <w:vAlign w:val="center"/>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rPr>
              <w:t>扬程</w:t>
            </w:r>
          </w:p>
        </w:tc>
        <w:tc>
          <w:tcPr>
            <w:tcW w:w="3540" w:type="dxa"/>
            <w:gridSpan w:val="2"/>
          </w:tcPr>
          <w:p>
            <w:pPr>
              <w:spacing w:line="360" w:lineRule="auto"/>
              <w:jc w:val="center"/>
              <w:rPr>
                <w:rFonts w:ascii="楷体" w:hAnsi="楷体" w:eastAsia="楷体" w:cs="楷体"/>
                <w:sz w:val="24"/>
                <w:szCs w:val="22"/>
                <w:highlight w:val="none"/>
              </w:rPr>
            </w:pPr>
            <w:r>
              <w:rPr>
                <w:rFonts w:ascii="楷体" w:hAnsi="楷体" w:eastAsia="楷体" w:cs="楷体"/>
                <w:sz w:val="24"/>
                <w:szCs w:val="22"/>
                <w:highlight w:val="none"/>
              </w:rPr>
              <w:t>m</w:t>
            </w:r>
          </w:p>
        </w:tc>
        <w:tc>
          <w:tcPr>
            <w:tcW w:w="1209" w:type="dxa"/>
            <w:vMerge w:val="continue"/>
          </w:tcPr>
          <w:p>
            <w:pPr>
              <w:spacing w:line="360" w:lineRule="auto"/>
              <w:jc w:val="center"/>
              <w:rPr>
                <w:rFonts w:ascii="楷体" w:hAnsi="楷体" w:eastAsia="楷体" w:cs="楷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638" w:type="dxa"/>
            <w:vMerge w:val="restart"/>
            <w:vAlign w:val="center"/>
          </w:tcPr>
          <w:p>
            <w:pPr>
              <w:spacing w:line="360" w:lineRule="auto"/>
              <w:jc w:val="center"/>
              <w:rPr>
                <w:rFonts w:hint="default" w:ascii="楷体" w:hAnsi="楷体" w:eastAsia="楷体" w:cs="楷体"/>
                <w:sz w:val="24"/>
                <w:szCs w:val="22"/>
                <w:highlight w:val="none"/>
                <w:lang w:val="en-US" w:eastAsia="zh-CN"/>
              </w:rPr>
            </w:pPr>
            <w:r>
              <w:rPr>
                <w:rFonts w:hint="eastAsia" w:ascii="楷体" w:hAnsi="楷体" w:eastAsia="楷体" w:cs="楷体"/>
                <w:sz w:val="24"/>
                <w:szCs w:val="22"/>
                <w:highlight w:val="none"/>
                <w:lang w:val="en-US" w:eastAsia="zh-CN"/>
              </w:rPr>
              <w:t>15</w:t>
            </w:r>
          </w:p>
        </w:tc>
        <w:tc>
          <w:tcPr>
            <w:tcW w:w="1157" w:type="dxa"/>
            <w:vMerge w:val="restart"/>
            <w:vAlign w:val="center"/>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rPr>
              <w:t>电源</w:t>
            </w:r>
          </w:p>
        </w:tc>
        <w:tc>
          <w:tcPr>
            <w:tcW w:w="2305" w:type="dxa"/>
            <w:vAlign w:val="center"/>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rPr>
              <w:t>型式</w:t>
            </w:r>
          </w:p>
        </w:tc>
        <w:tc>
          <w:tcPr>
            <w:tcW w:w="3540" w:type="dxa"/>
            <w:gridSpan w:val="2"/>
          </w:tcPr>
          <w:p>
            <w:pPr>
              <w:spacing w:line="360" w:lineRule="auto"/>
              <w:jc w:val="center"/>
              <w:rPr>
                <w:rFonts w:hint="eastAsia" w:ascii="楷体" w:hAnsi="楷体" w:eastAsia="楷体" w:cs="楷体"/>
                <w:sz w:val="24"/>
                <w:szCs w:val="22"/>
                <w:highlight w:val="none"/>
              </w:rPr>
            </w:pPr>
            <w:r>
              <w:rPr>
                <w:rFonts w:ascii="楷体" w:hAnsi="楷体" w:eastAsia="楷体" w:cs="楷体"/>
                <w:sz w:val="24"/>
                <w:szCs w:val="22"/>
                <w:highlight w:val="none"/>
              </w:rPr>
              <w:t>AC380V</w:t>
            </w:r>
            <w:r>
              <w:rPr>
                <w:rFonts w:hint="eastAsia" w:ascii="楷体" w:hAnsi="楷体" w:eastAsia="楷体" w:cs="楷体"/>
                <w:sz w:val="24"/>
                <w:szCs w:val="22"/>
                <w:highlight w:val="none"/>
                <w:lang w:eastAsia="zh-CN"/>
              </w:rPr>
              <w:t>4</w:t>
            </w:r>
            <w:r>
              <w:rPr>
                <w:rFonts w:ascii="楷体" w:hAnsi="楷体" w:eastAsia="楷体" w:cs="楷体"/>
                <w:sz w:val="24"/>
                <w:szCs w:val="22"/>
                <w:highlight w:val="none"/>
              </w:rPr>
              <w:t>Ph 50Hz</w:t>
            </w:r>
            <w:r>
              <w:rPr>
                <w:rFonts w:hint="eastAsia" w:ascii="楷体" w:hAnsi="楷体" w:eastAsia="楷体" w:cs="楷体"/>
                <w:sz w:val="24"/>
                <w:szCs w:val="22"/>
                <w:highlight w:val="none"/>
                <w:lang w:eastAsia="zh-CN"/>
              </w:rPr>
              <w:t>三相五线制</w:t>
            </w:r>
          </w:p>
          <w:p>
            <w:pPr>
              <w:spacing w:line="360" w:lineRule="auto"/>
              <w:ind w:firstLine="480" w:firstLineChars="200"/>
              <w:jc w:val="center"/>
              <w:rPr>
                <w:rFonts w:ascii="楷体" w:hAnsi="楷体" w:eastAsia="楷体" w:cs="楷体"/>
                <w:sz w:val="24"/>
                <w:szCs w:val="22"/>
                <w:highlight w:val="none"/>
              </w:rPr>
            </w:pPr>
          </w:p>
          <w:p>
            <w:pPr>
              <w:spacing w:line="360" w:lineRule="auto"/>
              <w:ind w:firstLine="480" w:firstLineChars="200"/>
              <w:jc w:val="center"/>
              <w:rPr>
                <w:rFonts w:ascii="楷体" w:hAnsi="楷体" w:eastAsia="楷体" w:cs="楷体"/>
                <w:sz w:val="24"/>
                <w:szCs w:val="22"/>
                <w:highlight w:val="none"/>
              </w:rPr>
            </w:pPr>
          </w:p>
        </w:tc>
        <w:tc>
          <w:tcPr>
            <w:tcW w:w="1209" w:type="dxa"/>
          </w:tcPr>
          <w:p>
            <w:pPr>
              <w:spacing w:line="360" w:lineRule="auto"/>
              <w:ind w:firstLine="480" w:firstLineChars="200"/>
              <w:jc w:val="center"/>
              <w:rPr>
                <w:rFonts w:ascii="楷体" w:hAnsi="楷体" w:eastAsia="楷体" w:cs="楷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638" w:type="dxa"/>
            <w:vMerge w:val="continue"/>
            <w:vAlign w:val="center"/>
          </w:tcPr>
          <w:p>
            <w:pPr>
              <w:spacing w:line="360" w:lineRule="auto"/>
              <w:jc w:val="center"/>
              <w:rPr>
                <w:rFonts w:ascii="楷体" w:hAnsi="楷体" w:eastAsia="楷体" w:cs="楷体"/>
                <w:sz w:val="24"/>
                <w:szCs w:val="22"/>
                <w:highlight w:val="none"/>
              </w:rPr>
            </w:pPr>
          </w:p>
        </w:tc>
        <w:tc>
          <w:tcPr>
            <w:tcW w:w="1157" w:type="dxa"/>
            <w:vMerge w:val="continue"/>
            <w:vAlign w:val="center"/>
          </w:tcPr>
          <w:p>
            <w:pPr>
              <w:spacing w:line="360" w:lineRule="auto"/>
              <w:jc w:val="center"/>
              <w:rPr>
                <w:rFonts w:ascii="楷体" w:hAnsi="楷体" w:eastAsia="楷体" w:cs="楷体"/>
                <w:sz w:val="24"/>
                <w:szCs w:val="22"/>
                <w:highlight w:val="none"/>
              </w:rPr>
            </w:pPr>
          </w:p>
        </w:tc>
        <w:tc>
          <w:tcPr>
            <w:tcW w:w="2305" w:type="dxa"/>
            <w:vAlign w:val="center"/>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lang w:eastAsia="zh-CN"/>
              </w:rPr>
              <w:t>总</w:t>
            </w:r>
            <w:r>
              <w:rPr>
                <w:rFonts w:hint="eastAsia" w:ascii="楷体" w:hAnsi="楷体" w:eastAsia="楷体" w:cs="楷体"/>
                <w:sz w:val="24"/>
                <w:szCs w:val="22"/>
                <w:highlight w:val="none"/>
              </w:rPr>
              <w:t>用电量</w:t>
            </w:r>
          </w:p>
        </w:tc>
        <w:tc>
          <w:tcPr>
            <w:tcW w:w="3540" w:type="dxa"/>
            <w:gridSpan w:val="2"/>
          </w:tcPr>
          <w:p>
            <w:pPr>
              <w:spacing w:line="360" w:lineRule="auto"/>
              <w:jc w:val="center"/>
              <w:rPr>
                <w:rFonts w:ascii="楷体" w:hAnsi="楷体" w:eastAsia="楷体" w:cs="楷体"/>
                <w:sz w:val="24"/>
                <w:szCs w:val="22"/>
                <w:highlight w:val="none"/>
              </w:rPr>
            </w:pPr>
            <w:r>
              <w:rPr>
                <w:rFonts w:hint="eastAsia" w:ascii="楷体" w:hAnsi="楷体" w:eastAsia="楷体" w:cs="楷体"/>
                <w:sz w:val="24"/>
                <w:szCs w:val="22"/>
                <w:highlight w:val="none"/>
                <w:lang w:val="en-US" w:eastAsia="zh-CN"/>
              </w:rPr>
              <w:t>5</w:t>
            </w:r>
            <w:r>
              <w:rPr>
                <w:rFonts w:ascii="楷体" w:hAnsi="楷体" w:eastAsia="楷体" w:cs="楷体"/>
                <w:sz w:val="24"/>
                <w:szCs w:val="22"/>
                <w:highlight w:val="none"/>
              </w:rPr>
              <w:t>KW</w:t>
            </w:r>
          </w:p>
          <w:p>
            <w:pPr>
              <w:spacing w:line="360" w:lineRule="auto"/>
              <w:ind w:firstLine="480" w:firstLineChars="200"/>
              <w:jc w:val="center"/>
              <w:rPr>
                <w:rFonts w:ascii="楷体" w:hAnsi="楷体" w:eastAsia="楷体" w:cs="楷体"/>
                <w:sz w:val="24"/>
                <w:szCs w:val="22"/>
                <w:highlight w:val="none"/>
              </w:rPr>
            </w:pPr>
            <w:r>
              <w:rPr>
                <w:rFonts w:ascii="楷体" w:hAnsi="楷体" w:eastAsia="楷体" w:cs="楷体"/>
                <w:sz w:val="24"/>
                <w:szCs w:val="22"/>
                <w:highlight w:val="none"/>
              </w:rPr>
              <w:t>W</w:t>
            </w:r>
          </w:p>
          <w:p>
            <w:pPr>
              <w:spacing w:line="360" w:lineRule="auto"/>
              <w:ind w:firstLine="480" w:firstLineChars="200"/>
              <w:jc w:val="center"/>
              <w:rPr>
                <w:rFonts w:ascii="楷体" w:hAnsi="楷体" w:eastAsia="楷体" w:cs="楷体"/>
                <w:sz w:val="24"/>
                <w:szCs w:val="22"/>
                <w:highlight w:val="none"/>
              </w:rPr>
            </w:pPr>
          </w:p>
          <w:p>
            <w:pPr>
              <w:spacing w:line="360" w:lineRule="auto"/>
              <w:ind w:firstLine="480" w:firstLineChars="200"/>
              <w:jc w:val="center"/>
              <w:rPr>
                <w:rFonts w:ascii="楷体" w:hAnsi="楷体" w:eastAsia="楷体" w:cs="楷体"/>
                <w:sz w:val="24"/>
                <w:szCs w:val="22"/>
                <w:highlight w:val="none"/>
              </w:rPr>
            </w:pPr>
          </w:p>
        </w:tc>
        <w:tc>
          <w:tcPr>
            <w:tcW w:w="1209" w:type="dxa"/>
          </w:tcPr>
          <w:p>
            <w:pPr>
              <w:spacing w:line="360" w:lineRule="auto"/>
              <w:ind w:firstLine="480" w:firstLineChars="200"/>
              <w:jc w:val="center"/>
              <w:rPr>
                <w:rFonts w:ascii="楷体" w:hAnsi="楷体" w:eastAsia="楷体" w:cs="楷体"/>
                <w:sz w:val="24"/>
                <w:szCs w:val="22"/>
                <w:highlight w:val="none"/>
              </w:rPr>
            </w:pPr>
          </w:p>
        </w:tc>
      </w:tr>
    </w:tbl>
    <w:p>
      <w:pPr>
        <w:pStyle w:val="4"/>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注：</w:t>
      </w:r>
      <w:r>
        <w:rPr>
          <w:rFonts w:ascii="仿宋" w:hAnsi="仿宋" w:eastAsia="仿宋" w:cs="仿宋"/>
          <w:b w:val="0"/>
          <w:bCs w:val="0"/>
          <w:sz w:val="28"/>
          <w:szCs w:val="28"/>
          <w:highlight w:val="none"/>
        </w:rPr>
        <w:t>*</w:t>
      </w:r>
      <w:r>
        <w:rPr>
          <w:rFonts w:hint="eastAsia" w:ascii="仿宋" w:hAnsi="仿宋" w:eastAsia="仿宋" w:cs="仿宋"/>
          <w:b w:val="0"/>
          <w:bCs w:val="0"/>
          <w:sz w:val="28"/>
          <w:szCs w:val="28"/>
          <w:highlight w:val="none"/>
        </w:rPr>
        <w:t>为</w:t>
      </w:r>
      <w:r>
        <w:rPr>
          <w:rFonts w:hint="eastAsia" w:ascii="仿宋" w:hAnsi="仿宋" w:eastAsia="仿宋" w:cs="仿宋"/>
          <w:b w:val="0"/>
          <w:bCs w:val="0"/>
          <w:sz w:val="28"/>
          <w:szCs w:val="28"/>
          <w:highlight w:val="none"/>
          <w:lang w:eastAsia="zh-CN"/>
        </w:rPr>
        <w:t>供应商</w:t>
      </w:r>
      <w:r>
        <w:rPr>
          <w:rFonts w:hint="eastAsia" w:ascii="仿宋" w:hAnsi="仿宋" w:eastAsia="仿宋" w:cs="仿宋"/>
          <w:b w:val="0"/>
          <w:bCs w:val="0"/>
          <w:sz w:val="28"/>
          <w:szCs w:val="28"/>
          <w:highlight w:val="none"/>
        </w:rPr>
        <w:t>确定</w:t>
      </w:r>
      <w:r>
        <w:rPr>
          <w:rFonts w:hint="eastAsia" w:ascii="仿宋" w:hAnsi="仿宋" w:eastAsia="仿宋" w:cs="仿宋"/>
          <w:b w:val="0"/>
          <w:bCs w:val="0"/>
          <w:sz w:val="28"/>
          <w:szCs w:val="28"/>
          <w:highlight w:val="none"/>
          <w:lang w:eastAsia="zh-CN"/>
        </w:rPr>
        <w:t>并填写</w:t>
      </w:r>
      <w:r>
        <w:rPr>
          <w:rFonts w:hint="eastAsia" w:ascii="仿宋" w:hAnsi="仿宋" w:eastAsia="仿宋" w:cs="仿宋"/>
          <w:b w:val="0"/>
          <w:bCs w:val="0"/>
          <w:sz w:val="28"/>
          <w:szCs w:val="28"/>
          <w:highlight w:val="none"/>
        </w:rPr>
        <w:t>。</w:t>
      </w:r>
    </w:p>
    <w:p>
      <w:pPr>
        <w:pStyle w:val="2"/>
        <w:rPr>
          <w:lang w:val="zh-CN"/>
        </w:rPr>
      </w:pPr>
    </w:p>
    <w:p>
      <w:pPr>
        <w:autoSpaceDE w:val="0"/>
        <w:autoSpaceDN w:val="0"/>
        <w:spacing w:line="360" w:lineRule="auto"/>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p>
    <w:p>
      <w:pPr>
        <w:pStyle w:val="2"/>
        <w:rPr>
          <w:rFonts w:ascii="仿宋_GB2312" w:hAnsi="仿宋" w:eastAsia="仿宋_GB2312"/>
          <w:sz w:val="24"/>
          <w:lang w:val="zh-CN"/>
        </w:rPr>
      </w:pPr>
    </w:p>
    <w:p>
      <w:pPr>
        <w:pStyle w:val="2"/>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p>
    <w:p>
      <w:pPr>
        <w:autoSpaceDE w:val="0"/>
        <w:autoSpaceDN w:val="0"/>
        <w:spacing w:before="120" w:after="120" w:line="360" w:lineRule="auto"/>
        <w:jc w:val="both"/>
        <w:rPr>
          <w:rFonts w:hint="eastAsia" w:ascii="宋体" w:hAnsi="宋体" w:eastAsia="宋体" w:cs="宋体"/>
          <w:sz w:val="24"/>
          <w:szCs w:val="24"/>
          <w:lang w:val="zh-CN"/>
        </w:rPr>
      </w:pPr>
      <w:r>
        <w:rPr>
          <w:rFonts w:hint="eastAsia" w:ascii="宋体" w:hAnsi="宋体" w:eastAsia="宋体" w:cs="宋体"/>
          <w:sz w:val="24"/>
          <w:szCs w:val="24"/>
          <w:lang w:val="zh-CN"/>
        </w:rPr>
        <w:t>附表四：</w:t>
      </w:r>
    </w:p>
    <w:p>
      <w:pPr>
        <w:autoSpaceDE w:val="0"/>
        <w:autoSpaceDN w:val="0"/>
        <w:spacing w:before="120" w:after="120" w:line="360" w:lineRule="auto"/>
        <w:jc w:val="center"/>
        <w:rPr>
          <w:rFonts w:ascii="宋体" w:hAnsi="Arial"/>
          <w:sz w:val="28"/>
          <w:lang w:val="zh-CN"/>
        </w:rPr>
      </w:pPr>
      <w:r>
        <w:rPr>
          <w:rFonts w:hint="eastAsia" w:ascii="黑体" w:hAnsi="Arial" w:eastAsia="黑体"/>
          <w:sz w:val="30"/>
          <w:szCs w:val="30"/>
          <w:lang w:val="zh-CN"/>
        </w:rPr>
        <w:t>商务</w:t>
      </w:r>
      <w:r>
        <w:rPr>
          <w:rFonts w:ascii="黑体" w:hAnsi="Arial" w:eastAsia="黑体"/>
          <w:sz w:val="30"/>
          <w:szCs w:val="30"/>
          <w:lang w:val="zh-CN"/>
        </w:rPr>
        <w:t>偏离表</w:t>
      </w:r>
    </w:p>
    <w:p>
      <w:pPr>
        <w:autoSpaceDE w:val="0"/>
        <w:autoSpaceDN w:val="0"/>
        <w:spacing w:after="240" w:line="360" w:lineRule="auto"/>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eastAsia="zh-CN"/>
        </w:rPr>
        <w:t>空水冷设备采购项目</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18"/>
        <w:tblW w:w="0" w:type="auto"/>
        <w:tblInd w:w="0" w:type="dxa"/>
        <w:tblLayout w:type="fixed"/>
        <w:tblCellMar>
          <w:top w:w="0" w:type="dxa"/>
          <w:left w:w="108" w:type="dxa"/>
          <w:bottom w:w="0" w:type="dxa"/>
          <w:right w:w="108" w:type="dxa"/>
        </w:tblCellMar>
      </w:tblPr>
      <w:tblGrid>
        <w:gridCol w:w="817"/>
        <w:gridCol w:w="3290"/>
        <w:gridCol w:w="3291"/>
        <w:gridCol w:w="1719"/>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line="360" w:lineRule="auto"/>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line="360" w:lineRule="auto"/>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line="360" w:lineRule="auto"/>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line="360" w:lineRule="auto"/>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line="360" w:lineRule="auto"/>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line="360" w:lineRule="auto"/>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line="360" w:lineRule="auto"/>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line="360" w:lineRule="auto"/>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line="360" w:lineRule="auto"/>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line="360" w:lineRule="auto"/>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line="360" w:lineRule="auto"/>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line="360" w:lineRule="auto"/>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line="360" w:lineRule="auto"/>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line="360" w:lineRule="auto"/>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r>
    </w:tbl>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pPr>
        <w:autoSpaceDE w:val="0"/>
        <w:autoSpaceDN w:val="0"/>
        <w:spacing w:before="50" w:after="50" w:line="360" w:lineRule="auto"/>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pStyle w:val="2"/>
        <w:rPr>
          <w:lang w:val="zh-CN"/>
        </w:rPr>
      </w:pPr>
    </w:p>
    <w:p>
      <w:pPr>
        <w:autoSpaceDE w:val="0"/>
        <w:autoSpaceDN w:val="0"/>
        <w:spacing w:line="360" w:lineRule="auto"/>
        <w:rPr>
          <w:rFonts w:ascii="仿宋_GB2312" w:hAnsi="仿宋" w:eastAsia="仿宋_GB2312"/>
          <w:sz w:val="24"/>
          <w:lang w:val="zh-CN"/>
        </w:rPr>
      </w:pPr>
    </w:p>
    <w:p>
      <w:pPr>
        <w:pStyle w:val="2"/>
        <w:ind w:left="0" w:leftChars="0" w:firstLine="0" w:firstLineChars="0"/>
        <w:rPr>
          <w:rFonts w:ascii="仿宋_GB2312" w:hAnsi="仿宋" w:eastAsia="仿宋_GB2312"/>
          <w:sz w:val="24"/>
          <w:lang w:val="zh-CN"/>
        </w:rPr>
      </w:pPr>
    </w:p>
    <w:p>
      <w:pPr>
        <w:pStyle w:val="2"/>
        <w:ind w:left="0" w:leftChars="0" w:firstLine="0" w:firstLineChars="0"/>
        <w:rPr>
          <w:rFonts w:ascii="黑体" w:hAnsi="Arial" w:eastAsia="黑体"/>
          <w:sz w:val="30"/>
          <w:szCs w:val="30"/>
          <w:lang w:val="zh-CN"/>
        </w:rPr>
      </w:pPr>
      <w:r>
        <w:rPr>
          <w:rFonts w:hint="eastAsia" w:ascii="仿宋_GB2312" w:hAnsi="仿宋" w:eastAsia="仿宋_GB2312"/>
          <w:sz w:val="24"/>
          <w:lang w:val="zh-CN"/>
        </w:rPr>
        <w:t>附表五</w:t>
      </w:r>
    </w:p>
    <w:p>
      <w:pPr>
        <w:autoSpaceDE w:val="0"/>
        <w:autoSpaceDN w:val="0"/>
        <w:spacing w:before="120" w:after="120" w:line="360" w:lineRule="auto"/>
        <w:jc w:val="center"/>
        <w:rPr>
          <w:rFonts w:ascii="宋体" w:hAnsi="Arial"/>
          <w:sz w:val="28"/>
          <w:lang w:val="zh-CN"/>
        </w:rPr>
      </w:pPr>
      <w:r>
        <w:rPr>
          <w:rFonts w:ascii="黑体" w:hAnsi="Arial" w:eastAsia="黑体"/>
          <w:sz w:val="30"/>
          <w:szCs w:val="30"/>
          <w:lang w:val="zh-CN"/>
        </w:rPr>
        <w:t>技术偏离表</w:t>
      </w:r>
    </w:p>
    <w:p>
      <w:pPr>
        <w:autoSpaceDE/>
        <w:autoSpaceDN/>
        <w:spacing w:after="0" w:line="360" w:lineRule="auto"/>
        <w:jc w:val="left"/>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eastAsia="zh-CN"/>
        </w:rPr>
        <w:t>空水冷设备采购项目</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18"/>
        <w:tblW w:w="0" w:type="auto"/>
        <w:tblInd w:w="0" w:type="dxa"/>
        <w:tblLayout w:type="fixed"/>
        <w:tblCellMar>
          <w:top w:w="0" w:type="dxa"/>
          <w:left w:w="108" w:type="dxa"/>
          <w:bottom w:w="0" w:type="dxa"/>
          <w:right w:w="108" w:type="dxa"/>
        </w:tblCellMar>
      </w:tblPr>
      <w:tblGrid>
        <w:gridCol w:w="817"/>
        <w:gridCol w:w="3079"/>
        <w:gridCol w:w="3079"/>
        <w:gridCol w:w="2100"/>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line="360" w:lineRule="auto"/>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line="360" w:lineRule="auto"/>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line="360" w:lineRule="auto"/>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line="360" w:lineRule="auto"/>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line="360" w:lineRule="auto"/>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line="360" w:lineRule="auto"/>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line="360" w:lineRule="auto"/>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line="360" w:lineRule="auto"/>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line="360" w:lineRule="auto"/>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line="360" w:lineRule="auto"/>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line="360" w:lineRule="auto"/>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line="360" w:lineRule="auto"/>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line="360" w:lineRule="auto"/>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line="360" w:lineRule="auto"/>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line="360" w:lineRule="auto"/>
              <w:rPr>
                <w:rFonts w:ascii="仿宋_GB2312" w:hAnsi="仿宋" w:eastAsia="仿宋_GB2312"/>
                <w:sz w:val="24"/>
                <w:lang w:val="zh-CN"/>
              </w:rPr>
            </w:pPr>
          </w:p>
        </w:tc>
      </w:tr>
    </w:tbl>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pPr>
        <w:autoSpaceDE w:val="0"/>
        <w:autoSpaceDN w:val="0"/>
        <w:spacing w:before="50" w:after="50" w:line="360" w:lineRule="auto"/>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rFonts w:hint="default" w:ascii="仿宋_GB2312" w:hAnsi="Times New Roman" w:eastAsia="仿宋_GB2312" w:cs="Times New Roman"/>
          <w:spacing w:val="-17"/>
          <w:sz w:val="32"/>
          <w:szCs w:val="32"/>
          <w:lang w:val="en-US" w:eastAsia="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sectPr>
      <w:footerReference r:id="rId3" w:type="default"/>
      <w:pgSz w:w="11906" w:h="16838"/>
      <w:pgMar w:top="1418" w:right="1588" w:bottom="1418"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EF7855F-5548-4120-BEAE-CCEFA2130680}"/>
  </w:font>
  <w:font w:name="黑体">
    <w:panose1 w:val="02010609060101010101"/>
    <w:charset w:val="86"/>
    <w:family w:val="auto"/>
    <w:pitch w:val="default"/>
    <w:sig w:usb0="800002BF" w:usb1="38CF7CFA" w:usb2="00000016" w:usb3="00000000" w:csb0="00040001" w:csb1="00000000"/>
    <w:embedRegular r:id="rId2" w:fontKey="{AEDDC897-B352-4303-97CA-A9BF600EF3F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889FA41E-9F30-4AC4-82E2-E1166B5BE537}"/>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D0E57A21-EE7A-4DC0-BA97-BD312AE213E9}"/>
  </w:font>
  <w:font w:name="楷体_GB2312">
    <w:panose1 w:val="02010609060101010101"/>
    <w:charset w:val="86"/>
    <w:family w:val="modern"/>
    <w:pitch w:val="default"/>
    <w:sig w:usb0="800002BF" w:usb1="38CF7CFA" w:usb2="00000016" w:usb3="00000000" w:csb0="00040001" w:csb1="00000000"/>
    <w:embedRegular r:id="rId5" w:fontKey="{D2290394-696F-440E-992A-56753C3C4796}"/>
  </w:font>
  <w:font w:name="仿宋_GB2312">
    <w:panose1 w:val="02010609030101010101"/>
    <w:charset w:val="86"/>
    <w:family w:val="modern"/>
    <w:pitch w:val="default"/>
    <w:sig w:usb0="00000001" w:usb1="080E0000" w:usb2="00000000" w:usb3="00000000" w:csb0="00040000" w:csb1="00000000"/>
    <w:embedRegular r:id="rId6" w:fontKey="{3A8B5ECE-B021-49CC-B9B5-E0A4B2489ADC}"/>
  </w:font>
  <w:font w:name="仿宋">
    <w:panose1 w:val="02010609060101010101"/>
    <w:charset w:val="86"/>
    <w:family w:val="modern"/>
    <w:pitch w:val="default"/>
    <w:sig w:usb0="800002BF" w:usb1="38CF7CFA" w:usb2="00000016" w:usb3="00000000" w:csb0="00040001" w:csb1="00000000"/>
    <w:embedRegular r:id="rId7" w:fontKey="{F36D829F-DD67-45AB-861D-D59D64486423}"/>
  </w:font>
  <w:font w:name="楷体">
    <w:panose1 w:val="02010609060101010101"/>
    <w:charset w:val="86"/>
    <w:family w:val="modern"/>
    <w:pitch w:val="default"/>
    <w:sig w:usb0="800002BF" w:usb1="38CF7CFA" w:usb2="00000016" w:usb3="00000000" w:csb0="00040001" w:csb1="00000000"/>
    <w:embedRegular r:id="rId8" w:fontKey="{6C97866A-6295-470C-84F6-61F65CF38852}"/>
  </w:font>
  <w:font w:name="Adobe 仿宋 Std R">
    <w:altName w:val="仿宋"/>
    <w:panose1 w:val="00000000000000000000"/>
    <w:charset w:val="86"/>
    <w:family w:val="roman"/>
    <w:pitch w:val="default"/>
    <w:sig w:usb0="00000000" w:usb1="00000000" w:usb2="00000010" w:usb3="00000000" w:csb0="00060007" w:csb1="00000000"/>
    <w:embedRegular r:id="rId9" w:fontKey="{6BBC3EA0-9CA5-4C06-B100-22181F85E2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8223"/>
    </w:sdtPr>
    <w:sdtEndPr>
      <w:rPr>
        <w:rFonts w:asciiTheme="minorEastAsia" w:hAnsiTheme="minorEastAsia" w:eastAsiaTheme="minorEastAsia"/>
        <w:sz w:val="28"/>
        <w:szCs w:val="28"/>
      </w:rPr>
    </w:sdtEndPr>
    <w:sdtContent>
      <w:p>
        <w:pPr>
          <w:pStyle w:val="13"/>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44EB0"/>
    <w:multiLevelType w:val="multilevel"/>
    <w:tmpl w:val="05344EB0"/>
    <w:lvl w:ilvl="0" w:tentative="0">
      <w:start w:val="1"/>
      <w:numFmt w:val="chineseCountingThousand"/>
      <w:lvlText w:val="(%1)"/>
      <w:lvlJc w:val="left"/>
      <w:pPr>
        <w:tabs>
          <w:tab w:val="left" w:pos="960"/>
        </w:tabs>
        <w:ind w:left="960" w:hanging="420"/>
      </w:pPr>
    </w:lvl>
    <w:lvl w:ilvl="1" w:tentative="0">
      <w:start w:val="1"/>
      <w:numFmt w:val="bullet"/>
      <w:lvlText w:val=""/>
      <w:lvlJc w:val="left"/>
      <w:pPr>
        <w:tabs>
          <w:tab w:val="left" w:pos="704"/>
        </w:tabs>
        <w:ind w:left="704" w:hanging="420"/>
      </w:pPr>
      <w:rPr>
        <w:rFonts w:hint="default" w:ascii="Wingdings" w:hAnsi="Wingdings"/>
      </w:rPr>
    </w:lvl>
    <w:lvl w:ilvl="2" w:tentative="0">
      <w:start w:val="1"/>
      <w:numFmt w:val="decimal"/>
      <w:pStyle w:val="30"/>
      <w:lvlText w:val="%3）"/>
      <w:lvlJc w:val="left"/>
      <w:pPr>
        <w:tabs>
          <w:tab w:val="left" w:pos="2100"/>
        </w:tabs>
        <w:ind w:left="2100" w:hanging="720"/>
      </w:pPr>
      <w:rPr>
        <w:rFonts w:hint="default"/>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626F2565"/>
    <w:multiLevelType w:val="singleLevel"/>
    <w:tmpl w:val="626F256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YWNiNjZkNzhiNDdjNTdmZTljODlkOGZhMzBmYTYifQ=="/>
  </w:docVars>
  <w:rsids>
    <w:rsidRoot w:val="00172A27"/>
    <w:rsid w:val="0001314A"/>
    <w:rsid w:val="000149AB"/>
    <w:rsid w:val="000263F8"/>
    <w:rsid w:val="000A6233"/>
    <w:rsid w:val="001137D5"/>
    <w:rsid w:val="00130E23"/>
    <w:rsid w:val="00143B7D"/>
    <w:rsid w:val="0015385D"/>
    <w:rsid w:val="0017255E"/>
    <w:rsid w:val="00186E63"/>
    <w:rsid w:val="001B29C7"/>
    <w:rsid w:val="001B7AAA"/>
    <w:rsid w:val="001D05DD"/>
    <w:rsid w:val="001D1D0D"/>
    <w:rsid w:val="001F73AD"/>
    <w:rsid w:val="00224430"/>
    <w:rsid w:val="002A60C4"/>
    <w:rsid w:val="0031053B"/>
    <w:rsid w:val="0031183A"/>
    <w:rsid w:val="00365574"/>
    <w:rsid w:val="0037287E"/>
    <w:rsid w:val="00383603"/>
    <w:rsid w:val="00392A16"/>
    <w:rsid w:val="003C17D2"/>
    <w:rsid w:val="00431720"/>
    <w:rsid w:val="0048045A"/>
    <w:rsid w:val="00482143"/>
    <w:rsid w:val="00511AD1"/>
    <w:rsid w:val="00523242"/>
    <w:rsid w:val="00562AE5"/>
    <w:rsid w:val="005B59AB"/>
    <w:rsid w:val="005D05AF"/>
    <w:rsid w:val="00615380"/>
    <w:rsid w:val="00633D00"/>
    <w:rsid w:val="0064165D"/>
    <w:rsid w:val="00645913"/>
    <w:rsid w:val="0064635A"/>
    <w:rsid w:val="00663837"/>
    <w:rsid w:val="006645B4"/>
    <w:rsid w:val="00696E20"/>
    <w:rsid w:val="006B658D"/>
    <w:rsid w:val="006C3C42"/>
    <w:rsid w:val="006D1C94"/>
    <w:rsid w:val="006D54D3"/>
    <w:rsid w:val="00702562"/>
    <w:rsid w:val="007050AC"/>
    <w:rsid w:val="00707552"/>
    <w:rsid w:val="00707B46"/>
    <w:rsid w:val="00712B61"/>
    <w:rsid w:val="00724FAF"/>
    <w:rsid w:val="007345CA"/>
    <w:rsid w:val="007530C7"/>
    <w:rsid w:val="007717FD"/>
    <w:rsid w:val="00774AA8"/>
    <w:rsid w:val="007D254D"/>
    <w:rsid w:val="007D5541"/>
    <w:rsid w:val="007D66EB"/>
    <w:rsid w:val="007F1FA5"/>
    <w:rsid w:val="008665CB"/>
    <w:rsid w:val="00882681"/>
    <w:rsid w:val="008A394D"/>
    <w:rsid w:val="008E1B69"/>
    <w:rsid w:val="008E1D95"/>
    <w:rsid w:val="00927EF2"/>
    <w:rsid w:val="00941DC3"/>
    <w:rsid w:val="0094594F"/>
    <w:rsid w:val="00967DB3"/>
    <w:rsid w:val="00991830"/>
    <w:rsid w:val="009B2BFE"/>
    <w:rsid w:val="009C0AEE"/>
    <w:rsid w:val="00A1192A"/>
    <w:rsid w:val="00A314E2"/>
    <w:rsid w:val="00A821A7"/>
    <w:rsid w:val="00A8614E"/>
    <w:rsid w:val="00AC1DE0"/>
    <w:rsid w:val="00B205A2"/>
    <w:rsid w:val="00B31EF5"/>
    <w:rsid w:val="00B33D49"/>
    <w:rsid w:val="00B34312"/>
    <w:rsid w:val="00B73734"/>
    <w:rsid w:val="00B95D74"/>
    <w:rsid w:val="00BA680E"/>
    <w:rsid w:val="00BD5397"/>
    <w:rsid w:val="00BF3E3B"/>
    <w:rsid w:val="00C070D6"/>
    <w:rsid w:val="00C13AC9"/>
    <w:rsid w:val="00C232C6"/>
    <w:rsid w:val="00C351FF"/>
    <w:rsid w:val="00C61F6F"/>
    <w:rsid w:val="00C758C9"/>
    <w:rsid w:val="00C97CB9"/>
    <w:rsid w:val="00CF7828"/>
    <w:rsid w:val="00D677CD"/>
    <w:rsid w:val="00D83219"/>
    <w:rsid w:val="00D91C5A"/>
    <w:rsid w:val="00DA4613"/>
    <w:rsid w:val="00DC1DD6"/>
    <w:rsid w:val="00DC5DA5"/>
    <w:rsid w:val="00DD0516"/>
    <w:rsid w:val="00DD673B"/>
    <w:rsid w:val="00E0423E"/>
    <w:rsid w:val="00E301CB"/>
    <w:rsid w:val="00E31898"/>
    <w:rsid w:val="00E37F37"/>
    <w:rsid w:val="00E45453"/>
    <w:rsid w:val="00E613EB"/>
    <w:rsid w:val="00EA2274"/>
    <w:rsid w:val="00EB4F35"/>
    <w:rsid w:val="00EB6236"/>
    <w:rsid w:val="00ED7734"/>
    <w:rsid w:val="00F64B2B"/>
    <w:rsid w:val="00F83D6E"/>
    <w:rsid w:val="00FD1F91"/>
    <w:rsid w:val="03D1726D"/>
    <w:rsid w:val="04B403C6"/>
    <w:rsid w:val="05194CB6"/>
    <w:rsid w:val="05696C71"/>
    <w:rsid w:val="057D4BE3"/>
    <w:rsid w:val="06846B62"/>
    <w:rsid w:val="087B1C0A"/>
    <w:rsid w:val="08F4477F"/>
    <w:rsid w:val="0BCA048F"/>
    <w:rsid w:val="0CB74F37"/>
    <w:rsid w:val="0D8E229F"/>
    <w:rsid w:val="0F175A76"/>
    <w:rsid w:val="138B0CB1"/>
    <w:rsid w:val="139F672A"/>
    <w:rsid w:val="154342FD"/>
    <w:rsid w:val="1A6E0288"/>
    <w:rsid w:val="1B93399B"/>
    <w:rsid w:val="1C764F2D"/>
    <w:rsid w:val="1CA02729"/>
    <w:rsid w:val="1DC5557C"/>
    <w:rsid w:val="1E623FD6"/>
    <w:rsid w:val="1E6325EF"/>
    <w:rsid w:val="1E7C727F"/>
    <w:rsid w:val="208D32AD"/>
    <w:rsid w:val="229650D5"/>
    <w:rsid w:val="240E3DAA"/>
    <w:rsid w:val="24860255"/>
    <w:rsid w:val="24990161"/>
    <w:rsid w:val="24D95272"/>
    <w:rsid w:val="258779D8"/>
    <w:rsid w:val="25933738"/>
    <w:rsid w:val="26A44A09"/>
    <w:rsid w:val="26C16DEA"/>
    <w:rsid w:val="28D27B04"/>
    <w:rsid w:val="29C4587E"/>
    <w:rsid w:val="2A9D68A5"/>
    <w:rsid w:val="2AEC57A5"/>
    <w:rsid w:val="2B9C4B6B"/>
    <w:rsid w:val="2C3562B0"/>
    <w:rsid w:val="2CC048AF"/>
    <w:rsid w:val="2D430559"/>
    <w:rsid w:val="2E0016EF"/>
    <w:rsid w:val="2EEE2746"/>
    <w:rsid w:val="2FE92250"/>
    <w:rsid w:val="2FEC2F3D"/>
    <w:rsid w:val="30562FA1"/>
    <w:rsid w:val="321F3EBE"/>
    <w:rsid w:val="33CB16DC"/>
    <w:rsid w:val="355410AE"/>
    <w:rsid w:val="35C64B9E"/>
    <w:rsid w:val="37240058"/>
    <w:rsid w:val="37F0383A"/>
    <w:rsid w:val="388F6D48"/>
    <w:rsid w:val="38FD64C2"/>
    <w:rsid w:val="3AAE5CB8"/>
    <w:rsid w:val="3B3F5907"/>
    <w:rsid w:val="3B4C19BE"/>
    <w:rsid w:val="3B96116B"/>
    <w:rsid w:val="3B9B7454"/>
    <w:rsid w:val="3E3C1261"/>
    <w:rsid w:val="3F7136A3"/>
    <w:rsid w:val="408D092B"/>
    <w:rsid w:val="409E00B6"/>
    <w:rsid w:val="40BC5BB5"/>
    <w:rsid w:val="41773A03"/>
    <w:rsid w:val="41B55043"/>
    <w:rsid w:val="42C910A8"/>
    <w:rsid w:val="44656DC0"/>
    <w:rsid w:val="446C3951"/>
    <w:rsid w:val="47637D1D"/>
    <w:rsid w:val="4A8D68D0"/>
    <w:rsid w:val="4B2E1FB3"/>
    <w:rsid w:val="4BAE1863"/>
    <w:rsid w:val="4C6B08E0"/>
    <w:rsid w:val="4CE16563"/>
    <w:rsid w:val="50725F33"/>
    <w:rsid w:val="50FC6B65"/>
    <w:rsid w:val="518046CF"/>
    <w:rsid w:val="51A1586A"/>
    <w:rsid w:val="51DE5EF9"/>
    <w:rsid w:val="521F6F37"/>
    <w:rsid w:val="531813D7"/>
    <w:rsid w:val="534B1695"/>
    <w:rsid w:val="546863EF"/>
    <w:rsid w:val="54F42BC6"/>
    <w:rsid w:val="556F2208"/>
    <w:rsid w:val="576E0201"/>
    <w:rsid w:val="583239BD"/>
    <w:rsid w:val="5915699E"/>
    <w:rsid w:val="591E34A2"/>
    <w:rsid w:val="59751278"/>
    <w:rsid w:val="5A5437EC"/>
    <w:rsid w:val="5B311173"/>
    <w:rsid w:val="5CBA7F88"/>
    <w:rsid w:val="5D317D47"/>
    <w:rsid w:val="5FD21F9C"/>
    <w:rsid w:val="5FD57160"/>
    <w:rsid w:val="61D967C4"/>
    <w:rsid w:val="628338D5"/>
    <w:rsid w:val="64176ECE"/>
    <w:rsid w:val="641C0E02"/>
    <w:rsid w:val="64A33CA9"/>
    <w:rsid w:val="65ED6764"/>
    <w:rsid w:val="66D46CA4"/>
    <w:rsid w:val="674D777B"/>
    <w:rsid w:val="67AE693B"/>
    <w:rsid w:val="680E73DA"/>
    <w:rsid w:val="6A3D12DF"/>
    <w:rsid w:val="6A585F3B"/>
    <w:rsid w:val="6AC6478B"/>
    <w:rsid w:val="6AF843F7"/>
    <w:rsid w:val="6C6C6CE1"/>
    <w:rsid w:val="6E684F91"/>
    <w:rsid w:val="6EB810B6"/>
    <w:rsid w:val="70447B2F"/>
    <w:rsid w:val="709335E5"/>
    <w:rsid w:val="719C621B"/>
    <w:rsid w:val="71C477E1"/>
    <w:rsid w:val="73D62658"/>
    <w:rsid w:val="74001F93"/>
    <w:rsid w:val="750B40A1"/>
    <w:rsid w:val="761B566E"/>
    <w:rsid w:val="76F31295"/>
    <w:rsid w:val="7A3E3601"/>
    <w:rsid w:val="7C3E5C19"/>
    <w:rsid w:val="7D0823E1"/>
    <w:rsid w:val="7D2A3E4B"/>
    <w:rsid w:val="7DD26F6B"/>
    <w:rsid w:val="7E041D70"/>
    <w:rsid w:val="7E9F1E1C"/>
    <w:rsid w:val="7EBB7394"/>
    <w:rsid w:val="7FA33936"/>
    <w:rsid w:val="7FDF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outlineLvl w:val="1"/>
    </w:pPr>
    <w:rPr>
      <w:rFonts w:ascii="微软雅黑" w:hAnsi="微软雅黑" w:eastAsia="微软雅黑" w:cs="微软雅黑"/>
      <w:b/>
      <w:bCs/>
      <w:sz w:val="28"/>
      <w:szCs w:val="28"/>
      <w:lang w:val="zh-CN" w:eastAsia="zh-CN" w:bidi="zh-CN"/>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6">
    <w:name w:val="annotation text"/>
    <w:basedOn w:val="1"/>
    <w:qFormat/>
    <w:uiPriority w:val="0"/>
    <w:pPr>
      <w:jc w:val="left"/>
    </w:pPr>
  </w:style>
  <w:style w:type="paragraph" w:styleId="7">
    <w:name w:val="Body Text"/>
    <w:basedOn w:val="1"/>
    <w:next w:val="8"/>
    <w:qFormat/>
    <w:uiPriority w:val="99"/>
    <w:pPr>
      <w:spacing w:after="120"/>
    </w:pPr>
    <w:rPr>
      <w:sz w:val="24"/>
      <w:szCs w:val="24"/>
    </w:rPr>
  </w:style>
  <w:style w:type="paragraph" w:styleId="8">
    <w:name w:val="annotation subject"/>
    <w:basedOn w:val="6"/>
    <w:next w:val="9"/>
    <w:semiHidden/>
    <w:qFormat/>
    <w:uiPriority w:val="0"/>
    <w:rPr>
      <w:b/>
      <w:bCs/>
    </w:rPr>
  </w:style>
  <w:style w:type="paragraph" w:styleId="9">
    <w:name w:val="Plain Text"/>
    <w:basedOn w:val="1"/>
    <w:next w:val="10"/>
    <w:qFormat/>
    <w:uiPriority w:val="0"/>
    <w:rPr>
      <w:rFonts w:ascii="宋体" w:hAnsi="Courier New"/>
    </w:rPr>
  </w:style>
  <w:style w:type="paragraph" w:styleId="10">
    <w:name w:val="Body Text Indent"/>
    <w:basedOn w:val="1"/>
    <w:next w:val="11"/>
    <w:qFormat/>
    <w:uiPriority w:val="0"/>
    <w:pPr>
      <w:ind w:left="420"/>
    </w:pPr>
  </w:style>
  <w:style w:type="paragraph" w:styleId="11">
    <w:name w:val="Date"/>
    <w:basedOn w:val="1"/>
    <w:next w:val="1"/>
    <w:link w:val="25"/>
    <w:semiHidden/>
    <w:unhideWhenUsed/>
    <w:qFormat/>
    <w:uiPriority w:val="99"/>
    <w:pPr>
      <w:ind w:left="100" w:leftChars="2500"/>
    </w:pPr>
  </w:style>
  <w:style w:type="paragraph" w:styleId="12">
    <w:name w:val="Balloon Text"/>
    <w:basedOn w:val="1"/>
    <w:link w:val="26"/>
    <w:semiHidden/>
    <w:unhideWhenUsed/>
    <w:qFormat/>
    <w:uiPriority w:val="99"/>
    <w:rPr>
      <w:sz w:val="18"/>
      <w:szCs w:val="18"/>
    </w:rPr>
  </w:style>
  <w:style w:type="paragraph" w:styleId="13">
    <w:name w:val="footer"/>
    <w:basedOn w:val="1"/>
    <w:link w:val="2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pPr>
    <w:rPr>
      <w:rFonts w:asciiTheme="minorHAnsi" w:hAnsiTheme="minorHAnsi" w:cstheme="minorHAnsi"/>
      <w:b/>
      <w:bCs/>
      <w:caps/>
      <w:sz w:val="20"/>
      <w:szCs w:val="20"/>
    </w:rPr>
  </w:style>
  <w:style w:type="paragraph" w:styleId="1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7">
    <w:name w:val="Body Text First Indent"/>
    <w:basedOn w:val="7"/>
    <w:qFormat/>
    <w:uiPriority w:val="0"/>
    <w:pPr>
      <w:ind w:firstLine="420" w:firstLineChars="100"/>
    </w:p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page number"/>
    <w:basedOn w:val="20"/>
    <w:qFormat/>
    <w:uiPriority w:val="99"/>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customStyle="1" w:styleId="23">
    <w:name w:val="页脚 Char"/>
    <w:basedOn w:val="20"/>
    <w:link w:val="13"/>
    <w:qFormat/>
    <w:uiPriority w:val="99"/>
    <w:rPr>
      <w:rFonts w:ascii="Times New Roman" w:hAnsi="Times New Roman" w:eastAsia="宋体" w:cs="Times New Roman"/>
      <w:sz w:val="18"/>
      <w:szCs w:val="18"/>
    </w:rPr>
  </w:style>
  <w:style w:type="character" w:customStyle="1" w:styleId="24">
    <w:name w:val="页眉 Char"/>
    <w:basedOn w:val="20"/>
    <w:link w:val="14"/>
    <w:qFormat/>
    <w:uiPriority w:val="99"/>
    <w:rPr>
      <w:sz w:val="18"/>
      <w:szCs w:val="18"/>
    </w:rPr>
  </w:style>
  <w:style w:type="character" w:customStyle="1" w:styleId="25">
    <w:name w:val="日期 Char"/>
    <w:basedOn w:val="20"/>
    <w:link w:val="11"/>
    <w:semiHidden/>
    <w:qFormat/>
    <w:uiPriority w:val="99"/>
  </w:style>
  <w:style w:type="character" w:customStyle="1" w:styleId="26">
    <w:name w:val="批注框文本 Char"/>
    <w:basedOn w:val="20"/>
    <w:link w:val="12"/>
    <w:semiHidden/>
    <w:qFormat/>
    <w:uiPriority w:val="99"/>
    <w:rPr>
      <w:sz w:val="18"/>
      <w:szCs w:val="18"/>
    </w:rPr>
  </w:style>
  <w:style w:type="paragraph" w:customStyle="1" w:styleId="27">
    <w:name w:val="Table Paragraph"/>
    <w:basedOn w:val="1"/>
    <w:qFormat/>
    <w:uiPriority w:val="1"/>
    <w:pPr>
      <w:jc w:val="center"/>
    </w:pPr>
    <w:rPr>
      <w:rFonts w:ascii="宋体" w:hAnsi="宋体" w:eastAsia="宋体" w:cs="宋体"/>
      <w:lang w:val="zh-CN" w:eastAsia="zh-CN" w:bidi="zh-CN"/>
    </w:rPr>
  </w:style>
  <w:style w:type="paragraph" w:styleId="28">
    <w:name w:val="No Spacing"/>
    <w:basedOn w:val="1"/>
    <w:qFormat/>
    <w:uiPriority w:val="1"/>
    <w:pPr>
      <w:widowControl/>
      <w:spacing w:line="240" w:lineRule="auto"/>
      <w:jc w:val="left"/>
    </w:pPr>
    <w:rPr>
      <w:kern w:val="0"/>
      <w:szCs w:val="32"/>
      <w:lang w:eastAsia="en-US" w:bidi="en-US"/>
    </w:rPr>
  </w:style>
  <w:style w:type="paragraph" w:customStyle="1" w:styleId="29">
    <w:name w:val="正文+首2"/>
    <w:basedOn w:val="1"/>
    <w:qFormat/>
    <w:uiPriority w:val="0"/>
    <w:pPr>
      <w:widowControl w:val="0"/>
      <w:spacing w:line="300" w:lineRule="auto"/>
      <w:ind w:firstLine="200" w:firstLineChars="200"/>
      <w:jc w:val="both"/>
    </w:pPr>
    <w:rPr>
      <w:rFonts w:ascii="Calibri" w:hAnsi="Calibri" w:cs="Times New Roman"/>
      <w:kern w:val="2"/>
      <w:sz w:val="21"/>
      <w:szCs w:val="21"/>
    </w:rPr>
  </w:style>
  <w:style w:type="paragraph" w:customStyle="1" w:styleId="30">
    <w:name w:val="媛的样式3"/>
    <w:basedOn w:val="1"/>
    <w:qFormat/>
    <w:uiPriority w:val="0"/>
    <w:pPr>
      <w:widowControl w:val="0"/>
      <w:numPr>
        <w:ilvl w:val="2"/>
        <w:numId w:val="1"/>
      </w:numPr>
      <w:tabs>
        <w:tab w:val="left" w:pos="629"/>
      </w:tabs>
      <w:spacing w:line="300" w:lineRule="auto"/>
      <w:jc w:val="both"/>
    </w:pPr>
    <w:rPr>
      <w:rFonts w:ascii="Calibri" w:hAnsi="Calibri" w:cs="Times New Roman"/>
      <w:kern w:val="2"/>
      <w:sz w:val="21"/>
      <w:szCs w:val="21"/>
    </w:rPr>
  </w:style>
  <w:style w:type="paragraph" w:customStyle="1" w:styleId="31">
    <w:name w:val="正文+左3"/>
    <w:basedOn w:val="1"/>
    <w:qFormat/>
    <w:uiPriority w:val="0"/>
    <w:pPr>
      <w:widowControl w:val="0"/>
      <w:spacing w:line="300" w:lineRule="auto"/>
      <w:ind w:left="300" w:leftChars="300"/>
      <w:jc w:val="both"/>
    </w:pPr>
    <w:rPr>
      <w:rFonts w:ascii="Calibri" w:hAnsi="Calibri" w:cs="Times New Roman"/>
      <w:kern w:val="2"/>
      <w:sz w:val="21"/>
      <w:szCs w:val="21"/>
    </w:rPr>
  </w:style>
  <w:style w:type="table" w:customStyle="1" w:styleId="32">
    <w:name w:val="网格型1"/>
    <w:basedOn w:val="18"/>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普通正文"/>
    <w:basedOn w:val="1"/>
    <w:qFormat/>
    <w:uiPriority w:val="0"/>
    <w:pPr>
      <w:adjustRightInd w:val="0"/>
      <w:snapToGrid w:val="0"/>
      <w:spacing w:line="460" w:lineRule="exact"/>
      <w:ind w:firstLine="480" w:firstLineChars="200"/>
    </w:pPr>
  </w:style>
  <w:style w:type="paragraph" w:customStyle="1" w:styleId="34">
    <w:name w:val="TOC 标题2"/>
    <w:basedOn w:val="3"/>
    <w:next w:val="1"/>
    <w:unhideWhenUsed/>
    <w:qFormat/>
    <w:uiPriority w:val="39"/>
    <w:pPr>
      <w:adjustRightInd/>
      <w:snapToGrid/>
      <w:spacing w:beforeLines="0" w:afterLines="0" w:line="259" w:lineRule="auto"/>
      <w:outlineLvl w:val="9"/>
    </w:pPr>
    <w:rPr>
      <w:rFonts w:asciiTheme="majorHAnsi" w:hAnsiTheme="majorHAnsi" w:eastAsiaTheme="majorEastAsia" w:cstheme="majorBidi"/>
      <w:b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4A7-86FB-4924-B6FF-3DA89EDC8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11891</Words>
  <Characters>12589</Characters>
  <Lines>48</Lines>
  <Paragraphs>13</Paragraphs>
  <TotalTime>44</TotalTime>
  <ScaleCrop>false</ScaleCrop>
  <LinksUpToDate>false</LinksUpToDate>
  <CharactersWithSpaces>12764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2021-01-22T23:26:00Z</dcterms:created>
  <dc:creator>Windows</dc:creator>
  <cp:lastModifiedBy>许其永</cp:lastModifiedBy>
  <cp:lastPrinted>2021-05-25T09:17:00Z</cp:lastPrinted>
  <dcterms:modified xsi:type="dcterms:W3CDTF">2023-06-20T09:47:22Z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138A1D0070064F28B5F560BEE092CA87_13</vt:lpwstr>
  </property>
</Properties>
</file>